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6A" w:rsidRDefault="000B58E6">
      <w:pPr>
        <w:snapToGrid w:val="0"/>
        <w:spacing w:line="264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AF406A" w:rsidRDefault="00AF406A">
      <w:pPr>
        <w:snapToGrid w:val="0"/>
        <w:spacing w:line="264" w:lineRule="auto"/>
        <w:jc w:val="left"/>
        <w:rPr>
          <w:rFonts w:ascii="黑体" w:eastAsia="黑体" w:hAnsi="黑体"/>
          <w:sz w:val="32"/>
          <w:szCs w:val="32"/>
        </w:rPr>
      </w:pPr>
    </w:p>
    <w:p w:rsidR="00AF406A" w:rsidRDefault="00A56A9A">
      <w:pPr>
        <w:snapToGrid w:val="0"/>
        <w:spacing w:line="264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:</w:t>
      </w:r>
    </w:p>
    <w:p w:rsidR="00A56A9A" w:rsidRDefault="00A56A9A">
      <w:pPr>
        <w:spacing w:line="720" w:lineRule="exact"/>
        <w:jc w:val="center"/>
        <w:rPr>
          <w:rFonts w:ascii="方正小标宋_GBK" w:eastAsia="方正小标宋_GBK"/>
          <w:color w:val="FF0000"/>
          <w:spacing w:val="120"/>
          <w:sz w:val="84"/>
          <w:szCs w:val="84"/>
        </w:rPr>
      </w:pPr>
      <w:bookmarkStart w:id="0" w:name="body"/>
      <w:bookmarkEnd w:id="0"/>
    </w:p>
    <w:p w:rsidR="00AF406A" w:rsidRDefault="000B58E6">
      <w:pPr>
        <w:spacing w:line="720" w:lineRule="exact"/>
        <w:jc w:val="center"/>
        <w:rPr>
          <w:rFonts w:ascii="方正小标宋简体" w:eastAsia="方正小标宋简体" w:hAnsiTheme="majorEastAsia" w:cstheme="minorBidi"/>
          <w:sz w:val="44"/>
          <w:szCs w:val="44"/>
        </w:rPr>
      </w:pPr>
      <w:r>
        <w:rPr>
          <w:rFonts w:ascii="方正小标宋简体" w:eastAsia="方正小标宋简体" w:hAnsiTheme="majorEastAsia" w:cstheme="minorBidi" w:hint="eastAsia"/>
          <w:sz w:val="44"/>
          <w:szCs w:val="44"/>
        </w:rPr>
        <w:t>吉林省自然资源厅关于</w:t>
      </w:r>
      <w:r>
        <w:rPr>
          <w:rFonts w:ascii="方正小标宋简体" w:eastAsia="方正小标宋简体" w:hAnsiTheme="majorEastAsia" w:cstheme="minorBidi" w:hint="eastAsia"/>
          <w:sz w:val="44"/>
          <w:szCs w:val="44"/>
        </w:rPr>
        <w:t>202</w:t>
      </w:r>
      <w:r>
        <w:rPr>
          <w:rFonts w:ascii="方正小标宋简体" w:eastAsia="方正小标宋简体" w:hAnsiTheme="majorEastAsia" w:cstheme="minorBidi"/>
          <w:sz w:val="44"/>
          <w:szCs w:val="44"/>
        </w:rPr>
        <w:t>5</w:t>
      </w:r>
      <w:r>
        <w:rPr>
          <w:rFonts w:ascii="方正小标宋简体" w:eastAsia="方正小标宋简体" w:hAnsiTheme="majorEastAsia" w:cstheme="minorBidi" w:hint="eastAsia"/>
          <w:sz w:val="44"/>
          <w:szCs w:val="44"/>
        </w:rPr>
        <w:t>年度</w:t>
      </w:r>
    </w:p>
    <w:p w:rsidR="00AF406A" w:rsidRDefault="000B58E6">
      <w:pPr>
        <w:snapToGrid w:val="0"/>
        <w:spacing w:line="7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简体" w:eastAsia="方正小标宋简体" w:hAnsiTheme="majorEastAsia" w:cstheme="minorBidi" w:hint="eastAsia"/>
          <w:sz w:val="44"/>
          <w:szCs w:val="44"/>
        </w:rPr>
        <w:t>法治政府建设情况的报告</w:t>
      </w:r>
    </w:p>
    <w:p w:rsidR="00AF406A" w:rsidRDefault="00AF406A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ascii="仿宋_GB2312" w:eastAsia="仿宋_GB2312" w:hint="eastAsia"/>
          <w:sz w:val="32"/>
          <w:szCs w:val="32"/>
        </w:rPr>
        <w:t>年，我厅坚持以法治自然资源建设为中心，规范行政权力运行，推进科学立法、严格执法，圆满完成了各项工作。现将相关工作情况报告如下：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/>
          <w:sz w:val="32"/>
          <w:szCs w:val="32"/>
        </w:rPr>
        <w:t>主要举措和成效</w:t>
      </w:r>
    </w:p>
    <w:p w:rsidR="00AF406A" w:rsidRDefault="000B58E6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Theme="minorHAnsi" w:cstheme="minorBidi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（一）持续加强</w:t>
      </w:r>
      <w:r>
        <w:rPr>
          <w:rFonts w:ascii="楷体_GB2312" w:eastAsia="楷体_GB2312"/>
          <w:sz w:val="32"/>
          <w:szCs w:val="32"/>
        </w:rPr>
        <w:t>法治</w:t>
      </w:r>
      <w:r>
        <w:rPr>
          <w:rFonts w:ascii="楷体_GB2312" w:eastAsia="楷体_GB2312" w:hint="eastAsia"/>
          <w:sz w:val="32"/>
          <w:szCs w:val="32"/>
        </w:rPr>
        <w:t>思想学用结合。</w:t>
      </w:r>
      <w:r>
        <w:rPr>
          <w:rFonts w:ascii="仿宋_GB2312" w:eastAsia="仿宋_GB2312" w:hint="eastAsia"/>
          <w:sz w:val="32"/>
          <w:szCs w:val="32"/>
        </w:rPr>
        <w:t>一是组织理论学习中心组进行深入学习，自中央全面依法治国工作会议提出习近平法治思想以来，厅党组高度重视，始终把习近平法治思想纳入厅党组理论学习中心组学习内容，每年持续进行常态化学习。二是落实领导干部</w:t>
      </w:r>
      <w:r>
        <w:rPr>
          <w:rFonts w:ascii="仿宋_GB2312" w:eastAsia="仿宋_GB2312"/>
          <w:sz w:val="32"/>
          <w:szCs w:val="32"/>
        </w:rPr>
        <w:t>学法用法制度</w:t>
      </w:r>
      <w:r>
        <w:rPr>
          <w:rFonts w:ascii="仿宋_GB2312" w:eastAsia="仿宋_GB2312" w:hint="eastAsia"/>
          <w:sz w:val="32"/>
          <w:szCs w:val="32"/>
        </w:rPr>
        <w:t>，将领导干部学法列入厅党组理论学习中心组学习计划中，对应知应会党内法规和国家法律采取集中领学、系统自学等方式开展全面深入学习。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（二）完善依法行政制度体系建设。</w:t>
      </w:r>
      <w:r>
        <w:rPr>
          <w:rFonts w:ascii="仿宋_GB2312" w:eastAsia="仿宋_GB2312" w:hAnsi="仿宋" w:hint="eastAsia"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积极</w:t>
      </w:r>
      <w:r>
        <w:rPr>
          <w:rFonts w:ascii="仿宋_GB2312" w:eastAsia="仿宋_GB2312"/>
          <w:sz w:val="32"/>
          <w:szCs w:val="32"/>
        </w:rPr>
        <w:t>推进</w:t>
      </w:r>
      <w:r>
        <w:rPr>
          <w:rFonts w:ascii="仿宋_GB2312" w:eastAsia="仿宋_GB2312" w:hint="eastAsia"/>
          <w:sz w:val="32"/>
          <w:szCs w:val="32"/>
        </w:rPr>
        <w:t>立法工作</w:t>
      </w:r>
      <w:r>
        <w:rPr>
          <w:rFonts w:ascii="仿宋_GB2312" w:eastAsia="仿宋_GB2312" w:hAnsi="仿宋" w:cs="宋体" w:hint="eastAsia"/>
          <w:color w:val="000000"/>
          <w:kern w:val="36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针对我省测绘地理信息管理存在的问题，开展《吉林省测绘地理信息条例》修订工作，已</w:t>
      </w:r>
      <w:r>
        <w:rPr>
          <w:rFonts w:ascii="仿宋_GB2312" w:eastAsia="仿宋_GB2312" w:cs="仿宋_GB2312"/>
          <w:sz w:val="32"/>
          <w:szCs w:val="32"/>
        </w:rPr>
        <w:t>推动</w:t>
      </w:r>
      <w:r>
        <w:rPr>
          <w:rFonts w:ascii="仿宋_GB2312" w:eastAsia="仿宋_GB2312" w:cs="仿宋_GB2312" w:hint="eastAsia"/>
          <w:sz w:val="32"/>
          <w:szCs w:val="32"/>
        </w:rPr>
        <w:t>完成《条例（修订草案）》起草工作，拟于</w:t>
      </w:r>
      <w:r>
        <w:rPr>
          <w:rFonts w:ascii="仿宋_GB2312" w:eastAsia="仿宋_GB2312" w:cs="仿宋_GB2312"/>
          <w:sz w:val="32"/>
          <w:szCs w:val="32"/>
        </w:rPr>
        <w:t>2026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报省司法厅审核。</w:t>
      </w:r>
      <w:r>
        <w:rPr>
          <w:rFonts w:ascii="仿宋_GB2312" w:eastAsia="仿宋_GB2312" w:hint="eastAsia"/>
          <w:sz w:val="32"/>
          <w:szCs w:val="32"/>
        </w:rPr>
        <w:t>二是</w:t>
      </w:r>
      <w:r>
        <w:rPr>
          <w:rFonts w:ascii="仿宋_GB2312" w:eastAsia="仿宋_GB2312" w:hint="eastAsia"/>
          <w:bCs/>
          <w:sz w:val="32"/>
          <w:szCs w:val="32"/>
        </w:rPr>
        <w:t>规范权力运行健全管理制度</w:t>
      </w:r>
      <w:r>
        <w:rPr>
          <w:rFonts w:ascii="仿宋_GB2312" w:eastAsia="仿宋_GB2312" w:hint="eastAsia"/>
          <w:sz w:val="32"/>
          <w:szCs w:val="32"/>
        </w:rPr>
        <w:t>，结合自然资源管理工作职责，全面梳理规划许可、用地用矿、资</w:t>
      </w:r>
      <w:r>
        <w:rPr>
          <w:rFonts w:ascii="仿宋_GB2312" w:eastAsia="仿宋_GB2312" w:hint="eastAsia"/>
          <w:sz w:val="32"/>
          <w:szCs w:val="32"/>
        </w:rPr>
        <w:lastRenderedPageBreak/>
        <w:t>质认定、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管理等行政审批事项办理</w:t>
      </w:r>
      <w:r>
        <w:rPr>
          <w:rFonts w:ascii="仿宋_GB2312" w:eastAsia="仿宋_GB2312"/>
          <w:sz w:val="32"/>
          <w:szCs w:val="32"/>
        </w:rPr>
        <w:t>流程</w:t>
      </w:r>
      <w:r>
        <w:rPr>
          <w:rFonts w:ascii="仿宋_GB2312" w:eastAsia="仿宋_GB2312" w:hint="eastAsia"/>
          <w:sz w:val="32"/>
          <w:szCs w:val="32"/>
        </w:rPr>
        <w:t>，排查各环节行政</w:t>
      </w:r>
      <w:r>
        <w:rPr>
          <w:rFonts w:ascii="仿宋_GB2312" w:eastAsia="仿宋_GB2312"/>
          <w:sz w:val="32"/>
          <w:szCs w:val="32"/>
        </w:rPr>
        <w:t>风险漏洞</w:t>
      </w:r>
      <w:r>
        <w:rPr>
          <w:rFonts w:ascii="仿宋_GB2312" w:eastAsia="仿宋_GB2312" w:hint="eastAsia"/>
          <w:sz w:val="32"/>
          <w:szCs w:val="32"/>
        </w:rPr>
        <w:t>，梳理</w:t>
      </w:r>
      <w:r>
        <w:rPr>
          <w:rFonts w:ascii="仿宋_GB2312" w:eastAsia="仿宋_GB2312" w:hint="eastAsia"/>
          <w:sz w:val="32"/>
          <w:szCs w:val="32"/>
        </w:rPr>
        <w:t>314</w:t>
      </w:r>
      <w:r>
        <w:rPr>
          <w:rFonts w:ascii="仿宋_GB2312" w:eastAsia="仿宋_GB2312" w:hint="eastAsia"/>
          <w:sz w:val="32"/>
          <w:szCs w:val="32"/>
        </w:rPr>
        <w:t>项风险隐患点，制定</w:t>
      </w:r>
      <w:r>
        <w:rPr>
          <w:rFonts w:ascii="仿宋_GB2312" w:eastAsia="仿宋_GB2312" w:hint="eastAsia"/>
          <w:sz w:val="32"/>
          <w:szCs w:val="32"/>
        </w:rPr>
        <w:t>396</w:t>
      </w:r>
      <w:r>
        <w:rPr>
          <w:rFonts w:ascii="仿宋_GB2312" w:eastAsia="仿宋_GB2312" w:hint="eastAsia"/>
          <w:sz w:val="32"/>
          <w:szCs w:val="32"/>
        </w:rPr>
        <w:t>项防范措施，制定</w:t>
      </w:r>
      <w:r>
        <w:rPr>
          <w:rFonts w:ascii="仿宋_GB2312" w:eastAsia="仿宋_GB2312"/>
          <w:sz w:val="32"/>
          <w:szCs w:val="32"/>
        </w:rPr>
        <w:t>权力运行规范</w:t>
      </w:r>
      <w:r>
        <w:rPr>
          <w:rFonts w:ascii="仿宋_GB2312" w:eastAsia="仿宋_GB2312" w:hint="eastAsia"/>
          <w:sz w:val="32"/>
          <w:szCs w:val="32"/>
        </w:rPr>
        <w:t>机制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项，为依法行政提供坚实制度保障。三是全面开展法规、规章、行政规范性文件集中清理，对不符合新法规定及自然资源管理需要的文件予以废止，年初</w:t>
      </w:r>
      <w:r>
        <w:rPr>
          <w:rFonts w:ascii="仿宋_GB2312" w:eastAsia="仿宋_GB2312"/>
          <w:sz w:val="32"/>
          <w:szCs w:val="32"/>
        </w:rPr>
        <w:t>以来</w:t>
      </w:r>
      <w:r>
        <w:rPr>
          <w:rFonts w:ascii="仿宋_GB2312" w:eastAsia="仿宋_GB2312" w:hint="eastAsia"/>
          <w:sz w:val="32"/>
          <w:szCs w:val="32"/>
        </w:rPr>
        <w:t>累计</w:t>
      </w:r>
      <w:r>
        <w:rPr>
          <w:rFonts w:ascii="仿宋_GB2312" w:eastAsia="仿宋_GB2312"/>
          <w:sz w:val="32"/>
          <w:szCs w:val="32"/>
        </w:rPr>
        <w:t>清理行政规范性文件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（三）坚持严格规范公正文明执法。</w:t>
      </w:r>
      <w:r>
        <w:rPr>
          <w:rFonts w:ascii="仿宋_GB2312" w:eastAsia="仿宋_GB2312" w:hint="eastAsia"/>
          <w:sz w:val="32"/>
          <w:szCs w:val="32"/>
        </w:rPr>
        <w:t>一是全面开展涉企行政执法专项行动。坚持问题导向、查纠结合，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在全省自然资源系统集中开展专项行动，全面排查涉企行政执法中存在的“四乱”问题，组织属地自然资源部门对发现的问题立行立改，有力提升了行政执法质量和效能。二是规范自然资源涉企行政检查。深入贯彻国务院、省政府指示</w:t>
      </w:r>
      <w:r>
        <w:rPr>
          <w:rFonts w:ascii="仿宋_GB2312" w:eastAsia="仿宋_GB2312" w:hint="eastAsia"/>
          <w:sz w:val="32"/>
          <w:szCs w:val="32"/>
        </w:rPr>
        <w:t>精神，印发《关于规范全省自然资源领域涉企行政检查的通知》，对检查计划申报、标准明确、方案制定、申请批准、现场实施等全流程各环节进行严格规范，统筹日常巡查、“双随机、一公开”检查、专项检查等方式，合理控制现场检查频次与范围，持续打造法治化、便利化自然资源营商环境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（四）依法有效化解社会矛盾纠纷。</w:t>
      </w:r>
      <w:r>
        <w:rPr>
          <w:rFonts w:ascii="仿宋_GB2312" w:eastAsia="仿宋_GB2312" w:hint="eastAsia"/>
          <w:sz w:val="32"/>
          <w:szCs w:val="32"/>
        </w:rPr>
        <w:t>一是妥善办理行政复议、行政应诉案件，年初以来累计办理被申请行政复议案件</w:t>
      </w:r>
      <w:r>
        <w:rPr>
          <w:rFonts w:ascii="仿宋_GB2312" w:eastAsia="仿宋_GB2312"/>
          <w:sz w:val="32"/>
          <w:szCs w:val="32"/>
        </w:rPr>
        <w:t>46</w:t>
      </w:r>
      <w:r>
        <w:rPr>
          <w:rFonts w:ascii="仿宋_GB2312" w:eastAsia="仿宋_GB2312" w:hint="eastAsia"/>
          <w:sz w:val="32"/>
          <w:szCs w:val="32"/>
        </w:rPr>
        <w:t>件，其中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件已审结，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件终止，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件驳回，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件维持，均已按要求提交复议答复书；办理行政应诉案件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件，其中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件撤诉，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件驳回原告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仍</w:t>
      </w:r>
      <w:r>
        <w:rPr>
          <w:rFonts w:ascii="仿宋_GB2312" w:eastAsia="仿宋_GB2312" w:hint="eastAsia"/>
          <w:sz w:val="32"/>
          <w:szCs w:val="32"/>
        </w:rPr>
        <w:t>在审</w:t>
      </w:r>
      <w:r>
        <w:rPr>
          <w:rFonts w:ascii="仿宋_GB2312" w:eastAsia="仿宋_GB2312" w:hint="eastAsia"/>
          <w:sz w:val="32"/>
          <w:szCs w:val="32"/>
        </w:rPr>
        <w:t>理中。二是积极化解</w:t>
      </w:r>
      <w:r>
        <w:rPr>
          <w:rFonts w:ascii="仿宋_GB2312" w:eastAsia="仿宋_GB2312" w:cs="仿宋_GB2312"/>
          <w:sz w:val="32"/>
          <w:szCs w:val="32"/>
        </w:rPr>
        <w:t>历史遗留</w:t>
      </w:r>
      <w:r>
        <w:rPr>
          <w:rFonts w:ascii="仿宋_GB2312" w:eastAsia="仿宋_GB2312" w:cs="仿宋_GB2312" w:hint="eastAsia"/>
          <w:sz w:val="32"/>
          <w:szCs w:val="32"/>
        </w:rPr>
        <w:t>集体土地征收争议纠纷，</w:t>
      </w:r>
      <w:r>
        <w:rPr>
          <w:rFonts w:ascii="仿宋_GB2312" w:eastAsia="仿宋_GB2312" w:hint="eastAsia"/>
          <w:sz w:val="32"/>
          <w:szCs w:val="32"/>
        </w:rPr>
        <w:t>认真落实省政府行政复议办要求，积极协调化解集体</w:t>
      </w:r>
      <w:r>
        <w:rPr>
          <w:rFonts w:ascii="仿宋_GB2312" w:eastAsia="仿宋_GB2312" w:hint="eastAsia"/>
          <w:sz w:val="32"/>
          <w:szCs w:val="32"/>
        </w:rPr>
        <w:lastRenderedPageBreak/>
        <w:t>土地征收行政复议案件，组织相关市县自然资源主管部门召开专项推进会，认真研究案件情况，督促指导各单位做好有效证据和依据补充工作，</w:t>
      </w:r>
      <w:r>
        <w:rPr>
          <w:rFonts w:ascii="仿宋_GB2312" w:eastAsia="仿宋_GB2312" w:cs="仿宋_GB2312" w:hint="eastAsia"/>
          <w:sz w:val="32"/>
          <w:szCs w:val="32"/>
        </w:rPr>
        <w:t>截至目前</w:t>
      </w:r>
      <w:r>
        <w:rPr>
          <w:rFonts w:ascii="仿宋_GB2312" w:eastAsia="仿宋_GB2312" w:cs="仿宋_GB2312" w:hint="eastAsia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件争议纠纷</w:t>
      </w:r>
      <w:r>
        <w:rPr>
          <w:rFonts w:ascii="仿宋_GB2312" w:eastAsia="仿宋_GB2312" w:cs="仿宋_GB2312"/>
          <w:sz w:val="32"/>
          <w:szCs w:val="32"/>
        </w:rPr>
        <w:t>案件</w:t>
      </w:r>
      <w:r>
        <w:rPr>
          <w:rFonts w:ascii="仿宋_GB2312" w:eastAsia="仿宋_GB2312" w:cs="仿宋_GB2312" w:hint="eastAsia"/>
          <w:sz w:val="32"/>
          <w:szCs w:val="32"/>
        </w:rPr>
        <w:t>已化解</w:t>
      </w:r>
      <w:r>
        <w:rPr>
          <w:rFonts w:ascii="仿宋_GB2312" w:eastAsia="仿宋_GB2312" w:cs="仿宋_GB2312" w:hint="eastAsia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件，剩余</w:t>
      </w:r>
      <w:r>
        <w:rPr>
          <w:rFonts w:ascii="仿宋_GB2312" w:eastAsia="仿宋_GB2312" w:cs="仿宋_GB2312" w:hint="eastAsia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件仍在</w:t>
      </w:r>
      <w:r>
        <w:rPr>
          <w:rFonts w:ascii="仿宋_GB2312" w:eastAsia="仿宋_GB2312" w:cs="仿宋_GB2312"/>
          <w:sz w:val="32"/>
          <w:szCs w:val="32"/>
        </w:rPr>
        <w:t>持续</w:t>
      </w:r>
      <w:r>
        <w:rPr>
          <w:rFonts w:ascii="仿宋_GB2312" w:eastAsia="仿宋_GB2312" w:cs="仿宋_GB2312" w:hint="eastAsia"/>
          <w:sz w:val="32"/>
          <w:szCs w:val="32"/>
        </w:rPr>
        <w:t>协调</w:t>
      </w:r>
      <w:r>
        <w:rPr>
          <w:rFonts w:ascii="仿宋_GB2312" w:eastAsia="仿宋_GB2312" w:cs="仿宋_GB2312"/>
          <w:sz w:val="32"/>
          <w:szCs w:val="32"/>
        </w:rPr>
        <w:t>推进</w:t>
      </w:r>
      <w:r>
        <w:rPr>
          <w:rFonts w:ascii="仿宋_GB2312" w:eastAsia="仿宋_GB2312" w:cs="仿宋_GB2312" w:hint="eastAsia"/>
          <w:sz w:val="32"/>
          <w:szCs w:val="32"/>
        </w:rPr>
        <w:t>中。</w:t>
      </w:r>
      <w:r>
        <w:rPr>
          <w:rFonts w:ascii="仿宋_GB2312" w:eastAsia="仿宋_GB2312" w:hint="eastAsia"/>
          <w:sz w:val="32"/>
          <w:szCs w:val="32"/>
        </w:rPr>
        <w:t>三是做好政务热线办理工作，全年累计处理接诉即办求助、咨询和投诉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所有政务热线均按要求转办处室快速办理、快速回复，反馈率和按时办结率达到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，确保企业和群众反映的问题和合理诉求得到处置和办理</w:t>
      </w:r>
      <w:r>
        <w:rPr>
          <w:rFonts w:ascii="仿宋_GB2312" w:eastAsia="仿宋_GB2312"/>
          <w:sz w:val="32"/>
          <w:szCs w:val="32"/>
        </w:rPr>
        <w:t>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二、存在不足和</w:t>
      </w:r>
      <w:r>
        <w:rPr>
          <w:rFonts w:ascii="黑体" w:eastAsia="黑体" w:hAnsi="黑体"/>
          <w:sz w:val="32"/>
          <w:szCs w:val="32"/>
        </w:rPr>
        <w:t>问题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Verdana" w:hint="eastAsia"/>
          <w:sz w:val="32"/>
          <w:szCs w:val="32"/>
          <w:shd w:val="clear" w:color="auto" w:fill="FFFFFF"/>
        </w:rPr>
        <w:t>（一）法治建设总体意识仍需提升。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以法治建设统领自然资源依法行政的作用发挥不够明显，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法治思想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与实际工作相结合还缺少探索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实践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，用法治思维和法治方式推动工作的意识还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需要加强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  <w:shd w:val="clear" w:color="auto" w:fill="FFFFFF"/>
        </w:rPr>
      </w:pPr>
      <w:r>
        <w:rPr>
          <w:rFonts w:ascii="楷体_GB2312" w:eastAsia="楷体_GB2312" w:hAnsi="Verdana" w:hint="eastAsia"/>
          <w:sz w:val="32"/>
          <w:szCs w:val="32"/>
          <w:shd w:val="clear" w:color="auto" w:fill="FFFFFF"/>
        </w:rPr>
        <w:t>（二）依法行政水平仍需进一步提升。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市、县自然资源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主管部门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由于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行政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行为不合法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导致的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败诉案件仍有发生，仍需进一步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做好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相关业务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的监督指导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业务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培训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等工作，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持续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提高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市、县自然资源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主管部门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依法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行政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水平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，努力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从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源头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化解败诉</w:t>
      </w:r>
      <w:r>
        <w:rPr>
          <w:rFonts w:ascii="仿宋_GB2312" w:eastAsia="仿宋_GB2312" w:hAnsi="Verdana"/>
          <w:sz w:val="32"/>
          <w:szCs w:val="32"/>
          <w:shd w:val="clear" w:color="auto" w:fill="FFFFFF"/>
        </w:rPr>
        <w:t>案件</w:t>
      </w:r>
      <w:r>
        <w:rPr>
          <w:rFonts w:ascii="仿宋_GB2312" w:eastAsia="仿宋_GB2312" w:hAnsi="Verdana" w:hint="eastAsia"/>
          <w:sz w:val="32"/>
          <w:szCs w:val="32"/>
          <w:shd w:val="clear" w:color="auto" w:fill="FFFFFF"/>
        </w:rPr>
        <w:t>发生。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（三）行政执法队伍建设仍需加强。</w:t>
      </w:r>
      <w:r>
        <w:rPr>
          <w:rFonts w:ascii="仿宋_GB2312" w:eastAsia="仿宋_GB2312" w:hint="eastAsia"/>
          <w:sz w:val="32"/>
          <w:szCs w:val="32"/>
        </w:rPr>
        <w:t>我省自然资源行政执法队伍改革后，各级自然资源行政执法队伍均被裁撤，分流至文旅、城管等其他综合执法部门，自然资源执法人员流失，具备执法资格的人员明显不足，相关调查取证、现场核查等执法工作难以有效开展，涉企行政检查持证亮证难以保证。</w:t>
      </w:r>
    </w:p>
    <w:p w:rsidR="00AF406A" w:rsidRDefault="000B58E6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三</w:t>
      </w:r>
      <w:r>
        <w:rPr>
          <w:rFonts w:ascii="黑体" w:eastAsia="黑体" w:hAnsi="黑体" w:cstheme="minorBidi"/>
          <w:sz w:val="32"/>
          <w:szCs w:val="32"/>
        </w:rPr>
        <w:t>、</w:t>
      </w:r>
      <w:r>
        <w:rPr>
          <w:rFonts w:ascii="黑体" w:eastAsia="黑体" w:hAnsi="黑体" w:cstheme="minorBidi" w:hint="eastAsia"/>
          <w:sz w:val="32"/>
          <w:szCs w:val="32"/>
        </w:rPr>
        <w:t>法治政府</w:t>
      </w:r>
      <w:r>
        <w:rPr>
          <w:rFonts w:ascii="黑体" w:eastAsia="黑体" w:hAnsi="黑体" w:cstheme="minorBidi"/>
          <w:sz w:val="32"/>
          <w:szCs w:val="32"/>
        </w:rPr>
        <w:t>建设</w:t>
      </w:r>
      <w:r>
        <w:rPr>
          <w:rFonts w:ascii="黑体" w:eastAsia="黑体" w:hAnsi="黑体" w:cstheme="minorBidi" w:hint="eastAsia"/>
          <w:sz w:val="32"/>
          <w:szCs w:val="32"/>
        </w:rPr>
        <w:t>第一责任人履职</w:t>
      </w:r>
      <w:r>
        <w:rPr>
          <w:rFonts w:ascii="黑体" w:eastAsia="黑体" w:hAnsi="黑体" w:cstheme="minorBidi"/>
          <w:sz w:val="32"/>
          <w:szCs w:val="32"/>
        </w:rPr>
        <w:t>情况</w:t>
      </w:r>
    </w:p>
    <w:p w:rsidR="00AF406A" w:rsidRDefault="000B58E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黑体" w:cstheme="minorBidi"/>
          <w:sz w:val="32"/>
          <w:szCs w:val="32"/>
        </w:rPr>
      </w:pPr>
      <w:r>
        <w:rPr>
          <w:rFonts w:ascii="楷体_GB2312" w:eastAsia="楷体_GB2312" w:hAnsi="黑体" w:cstheme="minorBidi" w:hint="eastAsia"/>
          <w:sz w:val="32"/>
          <w:szCs w:val="32"/>
        </w:rPr>
        <w:t>（一）认真</w:t>
      </w:r>
      <w:r>
        <w:rPr>
          <w:rFonts w:ascii="楷体_GB2312" w:eastAsia="楷体_GB2312" w:hAnsi="黑体" w:cstheme="minorBidi"/>
          <w:sz w:val="32"/>
          <w:szCs w:val="32"/>
        </w:rPr>
        <w:t>学习习近平法治思想。</w:t>
      </w:r>
      <w:r>
        <w:rPr>
          <w:rFonts w:ascii="仿宋_GB2312" w:eastAsia="仿宋_GB2312" w:hAnsi="黑体" w:cstheme="minorBidi" w:hint="eastAsia"/>
          <w:sz w:val="32"/>
          <w:szCs w:val="32"/>
        </w:rPr>
        <w:t>多次组织厅</w:t>
      </w:r>
      <w:r>
        <w:rPr>
          <w:rFonts w:ascii="仿宋_GB2312" w:eastAsia="仿宋_GB2312" w:hAnsi="黑体" w:cstheme="minorBidi"/>
          <w:sz w:val="32"/>
          <w:szCs w:val="32"/>
        </w:rPr>
        <w:t>党组</w:t>
      </w:r>
      <w:r>
        <w:rPr>
          <w:rFonts w:ascii="仿宋_GB2312" w:eastAsia="仿宋_GB2312" w:hAnsi="黑体" w:cstheme="minorBidi" w:hint="eastAsia"/>
          <w:sz w:val="32"/>
          <w:szCs w:val="32"/>
        </w:rPr>
        <w:t>理论学习</w:t>
      </w:r>
      <w:r>
        <w:rPr>
          <w:rFonts w:ascii="仿宋_GB2312" w:eastAsia="仿宋_GB2312" w:hAnsi="黑体" w:cstheme="minorBidi" w:hint="eastAsia"/>
          <w:sz w:val="32"/>
          <w:szCs w:val="32"/>
        </w:rPr>
        <w:lastRenderedPageBreak/>
        <w:t>中心组深入</w:t>
      </w:r>
      <w:r>
        <w:rPr>
          <w:rFonts w:ascii="仿宋_GB2312" w:eastAsia="仿宋_GB2312" w:hAnsi="黑体" w:cstheme="minorBidi"/>
          <w:sz w:val="32"/>
          <w:szCs w:val="32"/>
        </w:rPr>
        <w:t>学习习近平法治思想</w:t>
      </w:r>
      <w:r>
        <w:rPr>
          <w:rFonts w:ascii="仿宋_GB2312" w:eastAsia="仿宋_GB2312" w:hAnsi="黑体" w:cstheme="minorBidi" w:hint="eastAsia"/>
          <w:sz w:val="32"/>
          <w:szCs w:val="32"/>
        </w:rPr>
        <w:t>，深刻</w:t>
      </w:r>
      <w:r>
        <w:rPr>
          <w:rFonts w:ascii="仿宋_GB2312" w:eastAsia="仿宋_GB2312" w:hAnsi="黑体" w:cstheme="minorBidi"/>
          <w:sz w:val="32"/>
          <w:szCs w:val="32"/>
        </w:rPr>
        <w:t>领会</w:t>
      </w:r>
      <w:r>
        <w:rPr>
          <w:rFonts w:ascii="仿宋_GB2312" w:eastAsia="仿宋_GB2312" w:hAnsi="黑体" w:cstheme="minorBidi" w:hint="eastAsia"/>
          <w:sz w:val="32"/>
          <w:szCs w:val="32"/>
        </w:rPr>
        <w:t>习近平</w:t>
      </w:r>
      <w:r>
        <w:rPr>
          <w:rFonts w:ascii="仿宋_GB2312" w:eastAsia="仿宋_GB2312" w:hAnsi="黑体" w:cstheme="minorBidi"/>
          <w:sz w:val="32"/>
          <w:szCs w:val="32"/>
        </w:rPr>
        <w:t>法治思</w:t>
      </w:r>
      <w:r>
        <w:rPr>
          <w:rFonts w:ascii="仿宋_GB2312" w:eastAsia="仿宋_GB2312" w:hAnsi="黑体" w:cstheme="minorBidi" w:hint="eastAsia"/>
          <w:sz w:val="32"/>
          <w:szCs w:val="32"/>
        </w:rPr>
        <w:t>想的核心</w:t>
      </w:r>
      <w:r>
        <w:rPr>
          <w:rFonts w:ascii="仿宋_GB2312" w:eastAsia="仿宋_GB2312" w:hAnsi="黑体" w:cstheme="minorBidi"/>
          <w:sz w:val="32"/>
          <w:szCs w:val="32"/>
        </w:rPr>
        <w:t>要义</w:t>
      </w:r>
      <w:r>
        <w:rPr>
          <w:rFonts w:ascii="仿宋_GB2312" w:eastAsia="仿宋_GB2312" w:hAnsi="黑体" w:cstheme="minorBidi" w:hint="eastAsia"/>
          <w:sz w:val="32"/>
          <w:szCs w:val="32"/>
        </w:rPr>
        <w:t>，充分</w:t>
      </w:r>
      <w:r>
        <w:rPr>
          <w:rFonts w:ascii="仿宋_GB2312" w:eastAsia="仿宋_GB2312" w:hAnsi="黑体" w:cstheme="minorBidi"/>
          <w:sz w:val="32"/>
          <w:szCs w:val="32"/>
        </w:rPr>
        <w:t>认识</w:t>
      </w:r>
      <w:r>
        <w:rPr>
          <w:rFonts w:ascii="仿宋_GB2312" w:eastAsia="仿宋_GB2312" w:hAnsi="黑体" w:cstheme="minorBidi" w:hint="eastAsia"/>
          <w:sz w:val="32"/>
          <w:szCs w:val="32"/>
        </w:rPr>
        <w:t>习近平</w:t>
      </w:r>
      <w:r>
        <w:rPr>
          <w:rFonts w:ascii="仿宋_GB2312" w:eastAsia="仿宋_GB2312" w:hAnsi="黑体" w:cstheme="minorBidi"/>
          <w:sz w:val="32"/>
          <w:szCs w:val="32"/>
        </w:rPr>
        <w:t>法治思想</w:t>
      </w:r>
      <w:r>
        <w:rPr>
          <w:rFonts w:ascii="仿宋_GB2312" w:eastAsia="仿宋_GB2312" w:hAnsi="黑体" w:cstheme="minorBidi" w:hint="eastAsia"/>
          <w:sz w:val="32"/>
          <w:szCs w:val="32"/>
        </w:rPr>
        <w:t>对依法治国、</w:t>
      </w:r>
      <w:r>
        <w:rPr>
          <w:rFonts w:ascii="仿宋_GB2312" w:eastAsia="仿宋_GB2312" w:hAnsi="黑体" w:cstheme="minorBidi"/>
          <w:sz w:val="32"/>
          <w:szCs w:val="32"/>
        </w:rPr>
        <w:t>法治政府</w:t>
      </w:r>
      <w:r>
        <w:rPr>
          <w:rFonts w:ascii="仿宋_GB2312" w:eastAsia="仿宋_GB2312" w:hAnsi="黑体" w:cstheme="minorBidi" w:hint="eastAsia"/>
          <w:sz w:val="32"/>
          <w:szCs w:val="32"/>
        </w:rPr>
        <w:t>建设</w:t>
      </w:r>
      <w:r>
        <w:rPr>
          <w:rFonts w:ascii="仿宋_GB2312" w:eastAsia="仿宋_GB2312" w:hAnsi="黑体" w:cstheme="minorBidi"/>
          <w:sz w:val="32"/>
          <w:szCs w:val="32"/>
        </w:rPr>
        <w:t>的</w:t>
      </w:r>
      <w:r>
        <w:rPr>
          <w:rFonts w:ascii="仿宋_GB2312" w:eastAsia="仿宋_GB2312" w:hAnsi="黑体" w:cstheme="minorBidi" w:hint="eastAsia"/>
          <w:sz w:val="32"/>
          <w:szCs w:val="32"/>
        </w:rPr>
        <w:t>重要</w:t>
      </w:r>
      <w:r>
        <w:rPr>
          <w:rFonts w:ascii="仿宋_GB2312" w:eastAsia="仿宋_GB2312" w:hAnsi="黑体" w:cstheme="minorBidi"/>
          <w:sz w:val="32"/>
          <w:szCs w:val="32"/>
        </w:rPr>
        <w:t>意义，</w:t>
      </w:r>
      <w:r>
        <w:rPr>
          <w:rFonts w:ascii="仿宋_GB2312" w:eastAsia="仿宋_GB2312" w:hAnsi="黑体" w:cstheme="minorBidi" w:hint="eastAsia"/>
          <w:sz w:val="32"/>
          <w:szCs w:val="32"/>
        </w:rPr>
        <w:t>进一步拓宽理论联系实际新视野。</w:t>
      </w:r>
    </w:p>
    <w:p w:rsidR="00AF406A" w:rsidRDefault="000B58E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黑体" w:cstheme="minorBidi"/>
          <w:sz w:val="32"/>
          <w:szCs w:val="32"/>
        </w:rPr>
      </w:pPr>
      <w:r>
        <w:rPr>
          <w:rFonts w:ascii="楷体_GB2312" w:eastAsia="楷体_GB2312" w:hAnsi="黑体" w:cstheme="minorBidi" w:hint="eastAsia"/>
          <w:sz w:val="32"/>
          <w:szCs w:val="32"/>
        </w:rPr>
        <w:t>（二）高度重视自然资源</w:t>
      </w:r>
      <w:r>
        <w:rPr>
          <w:rFonts w:ascii="楷体_GB2312" w:eastAsia="楷体_GB2312" w:hAnsi="黑体" w:cstheme="minorBidi"/>
          <w:sz w:val="32"/>
          <w:szCs w:val="32"/>
        </w:rPr>
        <w:t>立法工作</w:t>
      </w:r>
      <w:r>
        <w:rPr>
          <w:rFonts w:ascii="楷体_GB2312" w:eastAsia="楷体_GB2312" w:hAnsi="黑体" w:cstheme="minorBidi" w:hint="eastAsia"/>
          <w:sz w:val="32"/>
          <w:szCs w:val="32"/>
        </w:rPr>
        <w:t>。</w:t>
      </w:r>
      <w:r>
        <w:rPr>
          <w:rFonts w:ascii="仿宋_GB2312" w:eastAsia="仿宋_GB2312" w:hAnsi="黑体" w:cstheme="minorBidi" w:hint="eastAsia"/>
          <w:sz w:val="32"/>
          <w:szCs w:val="32"/>
        </w:rPr>
        <w:t>密切关注国家</w:t>
      </w:r>
      <w:r>
        <w:rPr>
          <w:rFonts w:ascii="仿宋_GB2312" w:eastAsia="仿宋_GB2312" w:hAnsi="黑体" w:cstheme="minorBidi"/>
          <w:sz w:val="32"/>
          <w:szCs w:val="32"/>
        </w:rPr>
        <w:t>和</w:t>
      </w:r>
      <w:r>
        <w:rPr>
          <w:rFonts w:ascii="仿宋_GB2312" w:eastAsia="仿宋_GB2312" w:hAnsi="黑体" w:cstheme="minorBidi" w:hint="eastAsia"/>
          <w:sz w:val="32"/>
          <w:szCs w:val="32"/>
        </w:rPr>
        <w:t>我省立法进程</w:t>
      </w:r>
      <w:r>
        <w:rPr>
          <w:rFonts w:ascii="仿宋_GB2312" w:eastAsia="仿宋_GB2312" w:hAnsi="黑体" w:cstheme="minorBidi"/>
          <w:sz w:val="32"/>
          <w:szCs w:val="32"/>
        </w:rPr>
        <w:t>，</w:t>
      </w:r>
      <w:r>
        <w:rPr>
          <w:rFonts w:ascii="仿宋_GB2312" w:eastAsia="仿宋_GB2312" w:hAnsi="黑体" w:cstheme="minorBidi" w:hint="eastAsia"/>
          <w:sz w:val="32"/>
          <w:szCs w:val="32"/>
        </w:rPr>
        <w:t>结合</w:t>
      </w:r>
      <w:r>
        <w:rPr>
          <w:rFonts w:ascii="仿宋_GB2312" w:eastAsia="仿宋_GB2312" w:hAnsi="黑体" w:cstheme="minorBidi"/>
          <w:sz w:val="32"/>
          <w:szCs w:val="32"/>
        </w:rPr>
        <w:t>自然资源管理</w:t>
      </w:r>
      <w:r>
        <w:rPr>
          <w:rFonts w:ascii="仿宋_GB2312" w:eastAsia="仿宋_GB2312" w:hAnsi="黑体" w:cstheme="minorBidi" w:hint="eastAsia"/>
          <w:sz w:val="32"/>
          <w:szCs w:val="32"/>
        </w:rPr>
        <w:t>实际</w:t>
      </w:r>
      <w:r>
        <w:rPr>
          <w:rFonts w:ascii="仿宋_GB2312" w:eastAsia="仿宋_GB2312" w:hAnsi="黑体" w:cstheme="minorBidi"/>
          <w:sz w:val="32"/>
          <w:szCs w:val="32"/>
        </w:rPr>
        <w:t>需要，</w:t>
      </w:r>
      <w:r>
        <w:rPr>
          <w:rFonts w:ascii="仿宋_GB2312" w:eastAsia="仿宋_GB2312" w:hAnsi="黑体" w:cstheme="minorBidi" w:hint="eastAsia"/>
          <w:sz w:val="32"/>
          <w:szCs w:val="32"/>
        </w:rPr>
        <w:t>积极与</w:t>
      </w:r>
      <w:r>
        <w:rPr>
          <w:rFonts w:ascii="仿宋_GB2312" w:eastAsia="仿宋_GB2312" w:hAnsi="黑体" w:cstheme="minorBidi"/>
          <w:sz w:val="32"/>
          <w:szCs w:val="32"/>
        </w:rPr>
        <w:t>省人大</w:t>
      </w:r>
      <w:r>
        <w:rPr>
          <w:rFonts w:ascii="仿宋_GB2312" w:eastAsia="仿宋_GB2312" w:hAnsi="黑体" w:cstheme="minorBidi" w:hint="eastAsia"/>
          <w:sz w:val="32"/>
          <w:szCs w:val="32"/>
        </w:rPr>
        <w:t>沟通</w:t>
      </w:r>
      <w:r>
        <w:rPr>
          <w:rFonts w:ascii="仿宋_GB2312" w:eastAsia="仿宋_GB2312" w:hAnsi="黑体" w:cstheme="minorBidi"/>
          <w:sz w:val="32"/>
          <w:szCs w:val="32"/>
        </w:rPr>
        <w:t>汇报</w:t>
      </w:r>
      <w:r>
        <w:rPr>
          <w:rFonts w:ascii="仿宋_GB2312" w:eastAsia="仿宋_GB2312" w:hAnsi="黑体" w:cstheme="minorBidi" w:hint="eastAsia"/>
          <w:sz w:val="32"/>
          <w:szCs w:val="32"/>
        </w:rPr>
        <w:t>，对</w:t>
      </w:r>
      <w:r>
        <w:rPr>
          <w:rFonts w:ascii="仿宋_GB2312" w:eastAsia="仿宋_GB2312" w:hAnsi="黑体" w:cstheme="minorBidi"/>
          <w:sz w:val="32"/>
          <w:szCs w:val="32"/>
        </w:rPr>
        <w:t>相关</w:t>
      </w:r>
      <w:r>
        <w:rPr>
          <w:rFonts w:ascii="仿宋_GB2312" w:eastAsia="仿宋_GB2312" w:hAnsi="黑体" w:cstheme="minorBidi" w:hint="eastAsia"/>
          <w:sz w:val="32"/>
          <w:szCs w:val="32"/>
        </w:rPr>
        <w:t>法律法规草案</w:t>
      </w:r>
      <w:r>
        <w:rPr>
          <w:rFonts w:ascii="仿宋_GB2312" w:eastAsia="仿宋_GB2312" w:hAnsi="黑体" w:cstheme="minorBidi"/>
          <w:sz w:val="32"/>
          <w:szCs w:val="32"/>
        </w:rPr>
        <w:t>提出建设性意见</w:t>
      </w:r>
      <w:r>
        <w:rPr>
          <w:rFonts w:ascii="仿宋_GB2312" w:eastAsia="仿宋_GB2312" w:hAnsi="黑体" w:cstheme="minorBidi" w:hint="eastAsia"/>
          <w:sz w:val="32"/>
          <w:szCs w:val="32"/>
        </w:rPr>
        <w:t>。同时，加强部门</w:t>
      </w:r>
      <w:r>
        <w:rPr>
          <w:rFonts w:ascii="仿宋_GB2312" w:eastAsia="仿宋_GB2312" w:hAnsi="黑体" w:cstheme="minorBidi"/>
          <w:sz w:val="32"/>
          <w:szCs w:val="32"/>
        </w:rPr>
        <w:t>规范性文件</w:t>
      </w:r>
      <w:r>
        <w:rPr>
          <w:rFonts w:ascii="仿宋_GB2312" w:eastAsia="仿宋_GB2312" w:hAnsi="黑体" w:cstheme="minorBidi" w:hint="eastAsia"/>
          <w:sz w:val="32"/>
          <w:szCs w:val="32"/>
        </w:rPr>
        <w:t>管理</w:t>
      </w:r>
      <w:r>
        <w:rPr>
          <w:rFonts w:ascii="仿宋_GB2312" w:eastAsia="仿宋_GB2312" w:hAnsi="黑体" w:cstheme="minorBidi"/>
          <w:sz w:val="32"/>
          <w:szCs w:val="32"/>
        </w:rPr>
        <w:t>，</w:t>
      </w:r>
      <w:r>
        <w:rPr>
          <w:rFonts w:ascii="仿宋_GB2312" w:eastAsia="仿宋_GB2312" w:hAnsi="黑体" w:cstheme="minorBidi" w:hint="eastAsia"/>
          <w:sz w:val="32"/>
          <w:szCs w:val="32"/>
        </w:rPr>
        <w:t>对</w:t>
      </w:r>
      <w:r>
        <w:rPr>
          <w:rFonts w:ascii="仿宋_GB2312" w:eastAsia="仿宋_GB2312" w:hAnsi="黑体" w:cstheme="minorBidi"/>
          <w:sz w:val="32"/>
          <w:szCs w:val="32"/>
        </w:rPr>
        <w:t>规范性</w:t>
      </w:r>
      <w:r>
        <w:rPr>
          <w:rFonts w:ascii="仿宋_GB2312" w:eastAsia="仿宋_GB2312" w:hAnsi="黑体" w:cstheme="minorBidi" w:hint="eastAsia"/>
          <w:sz w:val="32"/>
          <w:szCs w:val="32"/>
        </w:rPr>
        <w:t>文件的制定</w:t>
      </w:r>
      <w:r>
        <w:rPr>
          <w:rFonts w:ascii="仿宋_GB2312" w:eastAsia="仿宋_GB2312" w:hAnsi="黑体" w:cstheme="minorBidi"/>
          <w:sz w:val="32"/>
          <w:szCs w:val="32"/>
        </w:rPr>
        <w:t>和</w:t>
      </w:r>
      <w:r>
        <w:rPr>
          <w:rFonts w:ascii="仿宋_GB2312" w:eastAsia="仿宋_GB2312" w:hAnsi="黑体" w:cstheme="minorBidi" w:hint="eastAsia"/>
          <w:sz w:val="32"/>
          <w:szCs w:val="32"/>
        </w:rPr>
        <w:t>清理工作</w:t>
      </w:r>
      <w:r>
        <w:rPr>
          <w:rFonts w:ascii="仿宋_GB2312" w:eastAsia="仿宋_GB2312" w:hAnsi="黑体" w:cstheme="minorBidi"/>
          <w:sz w:val="32"/>
          <w:szCs w:val="32"/>
        </w:rPr>
        <w:t>多次</w:t>
      </w:r>
      <w:r>
        <w:rPr>
          <w:rFonts w:ascii="仿宋_GB2312" w:eastAsia="仿宋_GB2312" w:hAnsi="黑体" w:cstheme="minorBidi" w:hint="eastAsia"/>
          <w:sz w:val="32"/>
          <w:szCs w:val="32"/>
        </w:rPr>
        <w:t>给予</w:t>
      </w:r>
      <w:r>
        <w:rPr>
          <w:rFonts w:ascii="仿宋_GB2312" w:eastAsia="仿宋_GB2312" w:hAnsi="黑体" w:cstheme="minorBidi"/>
          <w:sz w:val="32"/>
          <w:szCs w:val="32"/>
        </w:rPr>
        <w:t>指导</w:t>
      </w:r>
      <w:r>
        <w:rPr>
          <w:rFonts w:ascii="仿宋_GB2312" w:eastAsia="仿宋_GB2312" w:hAnsi="黑体" w:cstheme="minorBidi" w:hint="eastAsia"/>
          <w:sz w:val="32"/>
          <w:szCs w:val="32"/>
        </w:rPr>
        <w:t>性意见。</w:t>
      </w:r>
    </w:p>
    <w:p w:rsidR="00AF406A" w:rsidRDefault="000B58E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黑体" w:cstheme="minorBidi"/>
          <w:sz w:val="32"/>
          <w:szCs w:val="32"/>
        </w:rPr>
      </w:pPr>
      <w:r>
        <w:rPr>
          <w:rFonts w:ascii="楷体_GB2312" w:eastAsia="楷体_GB2312" w:hAnsi="黑体" w:cstheme="minorBidi" w:hint="eastAsia"/>
          <w:sz w:val="32"/>
          <w:szCs w:val="32"/>
        </w:rPr>
        <w:t>（三）充分认识履职尽责的重要性。</w:t>
      </w:r>
      <w:r>
        <w:rPr>
          <w:rFonts w:ascii="仿宋_GB2312" w:eastAsia="仿宋_GB2312" w:hAnsi="黑体" w:cstheme="minorBidi" w:hint="eastAsia"/>
          <w:sz w:val="32"/>
          <w:szCs w:val="32"/>
        </w:rPr>
        <w:t>我厅始终</w:t>
      </w:r>
      <w:r>
        <w:rPr>
          <w:rFonts w:ascii="仿宋_GB2312" w:eastAsia="仿宋_GB2312" w:hAnsi="黑体" w:cstheme="minorBidi"/>
          <w:sz w:val="32"/>
          <w:szCs w:val="32"/>
        </w:rPr>
        <w:t>坚持</w:t>
      </w:r>
      <w:r>
        <w:rPr>
          <w:rFonts w:ascii="仿宋_GB2312" w:eastAsia="仿宋_GB2312" w:hAnsi="黑体" w:cstheme="minorBidi" w:hint="eastAsia"/>
          <w:sz w:val="32"/>
          <w:szCs w:val="32"/>
        </w:rPr>
        <w:t>党政主要负责人是推进法治政府建设第一责任人的</w:t>
      </w:r>
      <w:r>
        <w:rPr>
          <w:rFonts w:ascii="仿宋_GB2312" w:eastAsia="仿宋_GB2312" w:hAnsi="黑体" w:cstheme="minorBidi"/>
          <w:sz w:val="32"/>
          <w:szCs w:val="32"/>
        </w:rPr>
        <w:t>原则</w:t>
      </w:r>
      <w:r>
        <w:rPr>
          <w:rFonts w:ascii="仿宋_GB2312" w:eastAsia="仿宋_GB2312" w:hAnsi="黑体" w:cstheme="minorBidi" w:hint="eastAsia"/>
          <w:sz w:val="32"/>
          <w:szCs w:val="32"/>
        </w:rPr>
        <w:t>，厅主要</w:t>
      </w:r>
      <w:r>
        <w:rPr>
          <w:rFonts w:ascii="仿宋_GB2312" w:eastAsia="仿宋_GB2312" w:hAnsi="黑体" w:cstheme="minorBidi"/>
          <w:sz w:val="32"/>
          <w:szCs w:val="32"/>
        </w:rPr>
        <w:t>负责同志</w:t>
      </w:r>
      <w:r>
        <w:rPr>
          <w:rFonts w:ascii="仿宋_GB2312" w:eastAsia="仿宋_GB2312" w:hAnsi="黑体" w:cstheme="minorBidi" w:hint="eastAsia"/>
          <w:sz w:val="32"/>
          <w:szCs w:val="32"/>
        </w:rPr>
        <w:t>高度</w:t>
      </w:r>
      <w:r>
        <w:rPr>
          <w:rFonts w:ascii="仿宋_GB2312" w:eastAsia="仿宋_GB2312" w:hAnsi="黑体" w:cstheme="minorBidi"/>
          <w:sz w:val="32"/>
          <w:szCs w:val="32"/>
        </w:rPr>
        <w:t>重视</w:t>
      </w:r>
      <w:r>
        <w:rPr>
          <w:rFonts w:ascii="仿宋_GB2312" w:eastAsia="仿宋_GB2312" w:hAnsi="黑体" w:cstheme="minorBidi" w:hint="eastAsia"/>
          <w:sz w:val="32"/>
          <w:szCs w:val="32"/>
        </w:rPr>
        <w:t>法治政府</w:t>
      </w:r>
      <w:r>
        <w:rPr>
          <w:rFonts w:ascii="仿宋_GB2312" w:eastAsia="仿宋_GB2312" w:hAnsi="黑体" w:cstheme="minorBidi"/>
          <w:sz w:val="32"/>
          <w:szCs w:val="32"/>
        </w:rPr>
        <w:t>建设，</w:t>
      </w:r>
      <w:r>
        <w:rPr>
          <w:rFonts w:ascii="仿宋_GB2312" w:eastAsia="仿宋_GB2312" w:hAnsi="黑体" w:cstheme="minorBidi" w:hint="eastAsia"/>
          <w:sz w:val="32"/>
          <w:szCs w:val="32"/>
        </w:rPr>
        <w:t>多次亲自</w:t>
      </w:r>
      <w:r>
        <w:rPr>
          <w:rFonts w:ascii="仿宋_GB2312" w:eastAsia="仿宋_GB2312" w:hAnsi="黑体" w:cstheme="minorBidi"/>
          <w:sz w:val="32"/>
          <w:szCs w:val="32"/>
        </w:rPr>
        <w:t>部署、</w:t>
      </w:r>
      <w:r>
        <w:rPr>
          <w:rFonts w:ascii="仿宋_GB2312" w:eastAsia="仿宋_GB2312" w:hAnsi="黑体" w:cstheme="minorBidi" w:hint="eastAsia"/>
          <w:sz w:val="32"/>
          <w:szCs w:val="32"/>
        </w:rPr>
        <w:t>督办相关</w:t>
      </w:r>
      <w:r>
        <w:rPr>
          <w:rFonts w:ascii="仿宋_GB2312" w:eastAsia="仿宋_GB2312" w:hAnsi="黑体" w:cstheme="minorBidi"/>
          <w:sz w:val="32"/>
          <w:szCs w:val="32"/>
        </w:rPr>
        <w:t>工作，</w:t>
      </w:r>
      <w:r>
        <w:rPr>
          <w:rFonts w:ascii="仿宋_GB2312" w:eastAsia="仿宋_GB2312" w:hAnsi="黑体" w:cstheme="minorBidi" w:hint="eastAsia"/>
          <w:sz w:val="32"/>
          <w:szCs w:val="32"/>
        </w:rPr>
        <w:t>始终将法治政府建设作为重要</w:t>
      </w:r>
      <w:r>
        <w:rPr>
          <w:rFonts w:ascii="仿宋_GB2312" w:eastAsia="仿宋_GB2312" w:hAnsi="黑体" w:cstheme="minorBidi"/>
          <w:sz w:val="32"/>
          <w:szCs w:val="32"/>
        </w:rPr>
        <w:t>工作</w:t>
      </w:r>
      <w:r>
        <w:rPr>
          <w:rFonts w:ascii="仿宋_GB2312" w:eastAsia="仿宋_GB2312" w:hAnsi="黑体" w:cstheme="minorBidi" w:hint="eastAsia"/>
          <w:sz w:val="32"/>
          <w:szCs w:val="32"/>
        </w:rPr>
        <w:t>来抓。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黑体" w:cstheme="minorBidi" w:hint="eastAsia"/>
          <w:sz w:val="32"/>
          <w:szCs w:val="32"/>
        </w:rPr>
        <w:t>（四）关注</w:t>
      </w:r>
      <w:r>
        <w:rPr>
          <w:rFonts w:ascii="楷体_GB2312" w:eastAsia="楷体_GB2312" w:hAnsi="黑体" w:cstheme="minorBidi"/>
          <w:sz w:val="32"/>
          <w:szCs w:val="32"/>
        </w:rPr>
        <w:t>行政复议案件办理</w:t>
      </w:r>
      <w:r>
        <w:rPr>
          <w:rFonts w:ascii="楷体_GB2312" w:eastAsia="楷体_GB2312" w:hAnsi="黑体" w:cstheme="minorBidi" w:hint="eastAsia"/>
          <w:sz w:val="32"/>
          <w:szCs w:val="32"/>
        </w:rPr>
        <w:t>工作。</w:t>
      </w:r>
      <w:r>
        <w:rPr>
          <w:rFonts w:ascii="仿宋_GB2312" w:eastAsia="仿宋_GB2312" w:hAnsi="黑体" w:cstheme="minorBidi" w:hint="eastAsia"/>
          <w:sz w:val="32"/>
          <w:szCs w:val="32"/>
        </w:rPr>
        <w:t>多次参与行政</w:t>
      </w:r>
      <w:r>
        <w:rPr>
          <w:rFonts w:ascii="仿宋_GB2312" w:eastAsia="仿宋_GB2312" w:hAnsi="黑体" w:cstheme="minorBidi"/>
          <w:sz w:val="32"/>
          <w:szCs w:val="32"/>
        </w:rPr>
        <w:t>复议案件协调会议，</w:t>
      </w:r>
      <w:r>
        <w:rPr>
          <w:rFonts w:ascii="仿宋_GB2312" w:eastAsia="仿宋_GB2312" w:hAnsi="黑体" w:cstheme="minorBidi" w:hint="eastAsia"/>
          <w:sz w:val="32"/>
          <w:szCs w:val="32"/>
        </w:rPr>
        <w:t>创新工作</w:t>
      </w:r>
      <w:r>
        <w:rPr>
          <w:rFonts w:ascii="仿宋_GB2312" w:eastAsia="仿宋_GB2312" w:hAnsi="黑体" w:cstheme="minorBidi"/>
          <w:sz w:val="32"/>
          <w:szCs w:val="32"/>
        </w:rPr>
        <w:t>思路、</w:t>
      </w:r>
      <w:r>
        <w:rPr>
          <w:rFonts w:ascii="仿宋_GB2312" w:eastAsia="仿宋_GB2312" w:hAnsi="黑体" w:cstheme="minorBidi" w:hint="eastAsia"/>
          <w:sz w:val="32"/>
          <w:szCs w:val="32"/>
        </w:rPr>
        <w:t>督办工作</w:t>
      </w:r>
      <w:r>
        <w:rPr>
          <w:rFonts w:ascii="仿宋_GB2312" w:eastAsia="仿宋_GB2312" w:hAnsi="黑体" w:cstheme="minorBidi"/>
          <w:sz w:val="32"/>
          <w:szCs w:val="32"/>
        </w:rPr>
        <w:t>进度</w:t>
      </w:r>
      <w:r>
        <w:rPr>
          <w:rFonts w:ascii="仿宋_GB2312" w:eastAsia="仿宋_GB2312" w:hAnsi="黑体" w:cstheme="minorBidi" w:hint="eastAsia"/>
          <w:sz w:val="32"/>
          <w:szCs w:val="32"/>
        </w:rPr>
        <w:t>，本着</w:t>
      </w:r>
      <w:r>
        <w:rPr>
          <w:rFonts w:ascii="仿宋_GB2312" w:eastAsia="仿宋_GB2312" w:hAnsiTheme="minorHAnsi" w:cstheme="minorBidi" w:hint="eastAsia"/>
          <w:sz w:val="32"/>
          <w:szCs w:val="32"/>
        </w:rPr>
        <w:t>维护群众权益、规避法律风险的</w:t>
      </w:r>
      <w:r>
        <w:rPr>
          <w:rFonts w:ascii="仿宋_GB2312" w:eastAsia="仿宋_GB2312" w:hAnsiTheme="minorHAnsi" w:cstheme="minorBidi"/>
          <w:sz w:val="32"/>
          <w:szCs w:val="32"/>
        </w:rPr>
        <w:t>原则</w:t>
      </w:r>
      <w:r>
        <w:rPr>
          <w:rFonts w:ascii="仿宋_GB2312" w:eastAsia="仿宋_GB2312" w:hAnsiTheme="minorHAnsi" w:cstheme="minorBidi" w:hint="eastAsia"/>
          <w:sz w:val="32"/>
          <w:szCs w:val="32"/>
        </w:rPr>
        <w:t>，</w:t>
      </w:r>
      <w:r>
        <w:rPr>
          <w:rFonts w:ascii="仿宋_GB2312" w:eastAsia="仿宋_GB2312" w:hAnsi="黑体" w:cstheme="minorBidi" w:hint="eastAsia"/>
          <w:sz w:val="32"/>
          <w:szCs w:val="32"/>
        </w:rPr>
        <w:t>力求有效</w:t>
      </w:r>
      <w:r>
        <w:rPr>
          <w:rFonts w:ascii="仿宋_GB2312" w:eastAsia="仿宋_GB2312" w:hAnsi="黑体" w:cstheme="minorBidi"/>
          <w:sz w:val="32"/>
          <w:szCs w:val="32"/>
        </w:rPr>
        <w:t>化解矛盾纠纷</w:t>
      </w:r>
      <w:r>
        <w:rPr>
          <w:rFonts w:ascii="仿宋_GB2312" w:eastAsia="仿宋_GB2312" w:hAnsi="黑体" w:cstheme="minorBidi" w:hint="eastAsia"/>
          <w:sz w:val="32"/>
          <w:szCs w:val="32"/>
        </w:rPr>
        <w:t>，</w:t>
      </w:r>
      <w:r>
        <w:rPr>
          <w:rFonts w:ascii="仿宋_GB2312" w:eastAsia="仿宋_GB2312" w:hAnsi="黑体" w:cstheme="minorBidi"/>
          <w:sz w:val="32"/>
          <w:szCs w:val="32"/>
        </w:rPr>
        <w:t>确保</w:t>
      </w:r>
      <w:r>
        <w:rPr>
          <w:rFonts w:ascii="仿宋_GB2312" w:eastAsia="仿宋_GB2312" w:hAnsi="黑体" w:cstheme="minorBidi" w:hint="eastAsia"/>
          <w:sz w:val="32"/>
          <w:szCs w:val="32"/>
        </w:rPr>
        <w:t>相关</w:t>
      </w:r>
      <w:r>
        <w:rPr>
          <w:rFonts w:ascii="仿宋_GB2312" w:eastAsia="仿宋_GB2312" w:hAnsi="黑体" w:cstheme="minorBidi"/>
          <w:sz w:val="32"/>
          <w:szCs w:val="32"/>
        </w:rPr>
        <w:t>行政复议案件得到</w:t>
      </w:r>
      <w:r>
        <w:rPr>
          <w:rFonts w:ascii="仿宋_GB2312" w:eastAsia="仿宋_GB2312" w:hAnsi="黑体" w:cstheme="minorBidi" w:hint="eastAsia"/>
          <w:sz w:val="32"/>
          <w:szCs w:val="32"/>
        </w:rPr>
        <w:t>妥善</w:t>
      </w:r>
      <w:r>
        <w:rPr>
          <w:rFonts w:ascii="仿宋_GB2312" w:eastAsia="仿宋_GB2312" w:hAnsi="黑体" w:cstheme="minorBidi"/>
          <w:sz w:val="32"/>
          <w:szCs w:val="32"/>
        </w:rPr>
        <w:t>解决。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四、下一步工作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（一）持续做好依法治国理论学习。</w:t>
      </w:r>
      <w:r>
        <w:rPr>
          <w:rFonts w:ascii="仿宋_GB2312" w:eastAsia="仿宋_GB2312" w:hint="eastAsia"/>
          <w:sz w:val="32"/>
          <w:szCs w:val="32"/>
        </w:rPr>
        <w:t>一是把推动习近平法治思想深入人心作为普法首要任务，用好《习近平法治文选》第一卷、《习近平法治思想学习纲要（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版）》等权威读本，大力营造尊法学法守法用法的良好氛围，将法治理念、法治思维和法治原则贯穿到自然资源管理全过程，全面系统推进“法治自然”建设。二是持续落实领导干部学法用法制度，发挥好领导干部领学促学作用，在抓好厅党组理论学习中心组学习的同时，将学法</w:t>
      </w:r>
      <w:r>
        <w:rPr>
          <w:rFonts w:ascii="仿宋_GB2312" w:eastAsia="仿宋_GB2312" w:hint="eastAsia"/>
          <w:sz w:val="32"/>
          <w:szCs w:val="32"/>
        </w:rPr>
        <w:lastRenderedPageBreak/>
        <w:t>用法纳入党员教育体系，通过全系统集中培训，</w:t>
      </w:r>
      <w:r>
        <w:rPr>
          <w:rFonts w:ascii="仿宋_GB2312" w:eastAsia="仿宋_GB2312" w:hint="eastAsia"/>
          <w:sz w:val="32"/>
          <w:szCs w:val="32"/>
        </w:rPr>
        <w:t>在实际工作中系统领悟、勇于实践，进一步提高党员干部正确理解和运用法律法规水平，不断提升党员干部依法履职能力。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（二）持续做好自然资源立法工作。</w:t>
      </w:r>
      <w:r>
        <w:rPr>
          <w:rFonts w:ascii="仿宋_GB2312" w:eastAsia="仿宋_GB2312" w:hint="eastAsia"/>
          <w:sz w:val="32"/>
          <w:szCs w:val="32"/>
        </w:rPr>
        <w:t>一是统筹开展行政法规的“立改废释”。密切关注《矿产资源法实施条例》《国土空间规划法》等自然资源领域法律法规的立法进程，适时启动相关地方性法规的修订准备及立法调研工作。积极推进《吉林省测绘地理信息条例》《吉林省饮用天然矿泉水资源开发保护条例》修订草案起草、立法调研、提请审议等立法工作进度。二是积极配合做好其他地方性法规草案征求意见工作。结合自然资源工作实际，认真研究省人</w:t>
      </w:r>
      <w:r>
        <w:rPr>
          <w:rFonts w:ascii="仿宋_GB2312" w:eastAsia="仿宋_GB2312" w:hint="eastAsia"/>
          <w:sz w:val="32"/>
          <w:szCs w:val="32"/>
        </w:rPr>
        <w:t>大、省司法厅征求意见的各类法规文件草案，提出建设性、可行性意见。三是持续开展相关规范性文件的清理工作。按照省人大和省司法厅要求，开展法规、规章和规范性文件全面清查和专项清理，对有违中央指示精神和失去效用的法规、规章和规范性文件及时修订或废止。</w:t>
      </w:r>
    </w:p>
    <w:p w:rsidR="00AF406A" w:rsidRDefault="000B58E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（三）继续做好行政案件办理。</w:t>
      </w:r>
      <w:r>
        <w:rPr>
          <w:rFonts w:ascii="仿宋_GB2312" w:eastAsia="仿宋_GB2312" w:hint="eastAsia"/>
          <w:sz w:val="32"/>
          <w:szCs w:val="32"/>
        </w:rPr>
        <w:t>一是及时受理行政复议、应诉案件。积极解决争议纠纷，推动案件协调化解。发挥法律顾问的作用，增强应诉能力，确保出庭应诉的工作质量和效果。二是提高公益诉讼办理质量。加强与检察院、法院沟通合作，规范自然资源的公益诉讼，共同提高公益诉讼的案件办理能力</w:t>
      </w:r>
      <w:r>
        <w:rPr>
          <w:rFonts w:ascii="仿宋_GB2312" w:eastAsia="仿宋_GB2312" w:hint="eastAsia"/>
          <w:sz w:val="32"/>
          <w:szCs w:val="32"/>
        </w:rPr>
        <w:t>。三是持续做好法治队伍建设。通过线上线下等方式开展全系统的行政复议及应诉能力培训，强化系统工作人员应对复议及应诉的能力，全面提升系统工作人员法治素质和法治水平。</w:t>
      </w:r>
    </w:p>
    <w:p w:rsidR="00AF406A" w:rsidRDefault="00AF406A">
      <w:pPr>
        <w:snapToGrid w:val="0"/>
        <w:spacing w:line="329" w:lineRule="auto"/>
        <w:ind w:right="641" w:firstLineChars="200" w:firstLine="640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 w:rsidR="00AF406A">
      <w:footerReference w:type="even" r:id="rId8"/>
      <w:footerReference w:type="default" r:id="rId9"/>
      <w:pgSz w:w="11906" w:h="16838"/>
      <w:pgMar w:top="1701" w:right="1474" w:bottom="1701" w:left="1474" w:header="851" w:footer="992" w:gutter="0"/>
      <w:pgBorders w:display="firstPage">
        <w:bottom w:val="thickThinSmallGap" w:sz="24" w:space="1" w:color="FF0000"/>
      </w:pgBorders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8E6" w:rsidRDefault="000B58E6">
      <w:r>
        <w:separator/>
      </w:r>
    </w:p>
  </w:endnote>
  <w:endnote w:type="continuationSeparator" w:id="0">
    <w:p w:rsidR="000B58E6" w:rsidRDefault="000B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兰亭黑_GBK">
    <w:altName w:val="汉仪中黑KW"/>
    <w:charset w:val="00"/>
    <w:family w:val="script"/>
    <w:pitch w:val="default"/>
    <w:sig w:usb0="00000000" w:usb1="00000000" w:usb2="00080016" w:usb3="00000000" w:csb0="00040001" w:csb1="00000000"/>
  </w:font>
  <w:font w:name="CESI仿宋-GB2312">
    <w:altName w:val="仿宋"/>
    <w:charset w:val="86"/>
    <w:family w:val="script"/>
    <w:pitch w:val="default"/>
    <w:sig w:usb0="00000000" w:usb1="00000000" w:usb2="00000010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汉仪中等线KW"/>
    <w:charset w:val="86"/>
    <w:family w:val="roman"/>
    <w:pitch w:val="default"/>
  </w:font>
  <w:font w:name="等线 Light">
    <w:altName w:val="汉仪书宋二KW"/>
    <w:charset w:val="86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831845"/>
    </w:sdtPr>
    <w:sdtEndPr>
      <w:rPr>
        <w:rFonts w:ascii="宋体" w:hAnsi="宋体"/>
        <w:sz w:val="28"/>
        <w:szCs w:val="28"/>
      </w:rPr>
    </w:sdtEndPr>
    <w:sdtContent>
      <w:p w:rsidR="00AF406A" w:rsidRDefault="000B58E6">
        <w:pPr>
          <w:pStyle w:val="af1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A56A9A" w:rsidRPr="00A56A9A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56A9A">
          <w:rPr>
            <w:rFonts w:ascii="宋体" w:hAnsi="宋体"/>
            <w:noProof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067002"/>
    </w:sdtPr>
    <w:sdtEndPr>
      <w:rPr>
        <w:rFonts w:ascii="宋体" w:hAnsi="宋体"/>
        <w:sz w:val="28"/>
        <w:szCs w:val="28"/>
      </w:rPr>
    </w:sdtEndPr>
    <w:sdtContent>
      <w:p w:rsidR="00AF406A" w:rsidRDefault="000B58E6">
        <w:pPr>
          <w:pStyle w:val="af1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A56A9A" w:rsidRPr="00A56A9A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56A9A">
          <w:rPr>
            <w:rFonts w:ascii="宋体" w:hAnsi="宋体"/>
            <w:noProof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8E6" w:rsidRDefault="000B58E6">
      <w:r>
        <w:separator/>
      </w:r>
    </w:p>
  </w:footnote>
  <w:footnote w:type="continuationSeparator" w:id="0">
    <w:p w:rsidR="000B58E6" w:rsidRDefault="000B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43C45"/>
    <w:multiLevelType w:val="multilevel"/>
    <w:tmpl w:val="0BF43C4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4678" w:firstLine="0"/>
      </w:pPr>
      <w:rPr>
        <w:rFonts w:ascii="黑体" w:eastAsia="黑体" w:hAnsi="黑体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5EFEB8"/>
    <w:multiLevelType w:val="multilevel"/>
    <w:tmpl w:val="645EFEB8"/>
    <w:lvl w:ilvl="0">
      <w:start w:val="1"/>
      <w:numFmt w:val="decimal"/>
      <w:pStyle w:val="Char"/>
      <w:lvlText w:val="%1、"/>
      <w:lvlJc w:val="left"/>
      <w:pPr>
        <w:tabs>
          <w:tab w:val="left" w:pos="0"/>
        </w:tabs>
        <w:ind w:left="720" w:hanging="720"/>
      </w:pPr>
      <w:rPr>
        <w:rFonts w:ascii="楷体_GB2312" w:hAnsi="楷体_GB2312" w:hint="default"/>
        <w:b w:val="0"/>
        <w:color w:val="FF0000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evenAndOddHeaders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D1"/>
    <w:rsid w:val="BFEE36FD"/>
    <w:rsid w:val="00016478"/>
    <w:rsid w:val="000459CF"/>
    <w:rsid w:val="00050F6A"/>
    <w:rsid w:val="00073E36"/>
    <w:rsid w:val="00087EC7"/>
    <w:rsid w:val="000A7294"/>
    <w:rsid w:val="000B58E6"/>
    <w:rsid w:val="000C2299"/>
    <w:rsid w:val="000D323A"/>
    <w:rsid w:val="000E7E28"/>
    <w:rsid w:val="000F4CC0"/>
    <w:rsid w:val="00104D68"/>
    <w:rsid w:val="001141B4"/>
    <w:rsid w:val="0012066A"/>
    <w:rsid w:val="001232A7"/>
    <w:rsid w:val="00127246"/>
    <w:rsid w:val="001274A3"/>
    <w:rsid w:val="00141015"/>
    <w:rsid w:val="00141755"/>
    <w:rsid w:val="00152F64"/>
    <w:rsid w:val="00155832"/>
    <w:rsid w:val="00172F1C"/>
    <w:rsid w:val="002221D9"/>
    <w:rsid w:val="00224155"/>
    <w:rsid w:val="00225773"/>
    <w:rsid w:val="002274A2"/>
    <w:rsid w:val="002340BF"/>
    <w:rsid w:val="00242561"/>
    <w:rsid w:val="00250DE6"/>
    <w:rsid w:val="002523D0"/>
    <w:rsid w:val="00260D0F"/>
    <w:rsid w:val="00262D66"/>
    <w:rsid w:val="00264860"/>
    <w:rsid w:val="00270EEB"/>
    <w:rsid w:val="00286C42"/>
    <w:rsid w:val="00290E7A"/>
    <w:rsid w:val="00292377"/>
    <w:rsid w:val="002B4EC4"/>
    <w:rsid w:val="002C1AA7"/>
    <w:rsid w:val="002C6604"/>
    <w:rsid w:val="002E442E"/>
    <w:rsid w:val="002E4A35"/>
    <w:rsid w:val="002F0B00"/>
    <w:rsid w:val="002F1EF8"/>
    <w:rsid w:val="00305208"/>
    <w:rsid w:val="0030760F"/>
    <w:rsid w:val="0031027F"/>
    <w:rsid w:val="00326E63"/>
    <w:rsid w:val="00327F13"/>
    <w:rsid w:val="003300D4"/>
    <w:rsid w:val="00354B9E"/>
    <w:rsid w:val="0036456A"/>
    <w:rsid w:val="003779C5"/>
    <w:rsid w:val="003779FE"/>
    <w:rsid w:val="003B044C"/>
    <w:rsid w:val="003B1E90"/>
    <w:rsid w:val="003D0C8C"/>
    <w:rsid w:val="003E62C9"/>
    <w:rsid w:val="003F3677"/>
    <w:rsid w:val="003F38D7"/>
    <w:rsid w:val="0040654B"/>
    <w:rsid w:val="00425C9A"/>
    <w:rsid w:val="004420E1"/>
    <w:rsid w:val="00464A3D"/>
    <w:rsid w:val="004663DF"/>
    <w:rsid w:val="0047798D"/>
    <w:rsid w:val="00495324"/>
    <w:rsid w:val="004A7789"/>
    <w:rsid w:val="004B2D97"/>
    <w:rsid w:val="004C147A"/>
    <w:rsid w:val="004C409B"/>
    <w:rsid w:val="004D426F"/>
    <w:rsid w:val="004D47FB"/>
    <w:rsid w:val="004D5D40"/>
    <w:rsid w:val="004E712B"/>
    <w:rsid w:val="00502C59"/>
    <w:rsid w:val="005121A3"/>
    <w:rsid w:val="0052231F"/>
    <w:rsid w:val="00534A1B"/>
    <w:rsid w:val="00545664"/>
    <w:rsid w:val="005475F9"/>
    <w:rsid w:val="00557C77"/>
    <w:rsid w:val="00566F58"/>
    <w:rsid w:val="005939AB"/>
    <w:rsid w:val="005C1D71"/>
    <w:rsid w:val="005D0DB3"/>
    <w:rsid w:val="005E13CD"/>
    <w:rsid w:val="005E22E4"/>
    <w:rsid w:val="005F1BAD"/>
    <w:rsid w:val="005F7B42"/>
    <w:rsid w:val="00605289"/>
    <w:rsid w:val="00611D0A"/>
    <w:rsid w:val="00611D81"/>
    <w:rsid w:val="0062158B"/>
    <w:rsid w:val="00624D3B"/>
    <w:rsid w:val="006306E6"/>
    <w:rsid w:val="0064091A"/>
    <w:rsid w:val="0064374F"/>
    <w:rsid w:val="00653883"/>
    <w:rsid w:val="00660139"/>
    <w:rsid w:val="00675C06"/>
    <w:rsid w:val="0068128A"/>
    <w:rsid w:val="00683C97"/>
    <w:rsid w:val="0068745C"/>
    <w:rsid w:val="00692EFE"/>
    <w:rsid w:val="006B53B4"/>
    <w:rsid w:val="006C4D7F"/>
    <w:rsid w:val="00704F00"/>
    <w:rsid w:val="007103B2"/>
    <w:rsid w:val="007128D4"/>
    <w:rsid w:val="00716A4C"/>
    <w:rsid w:val="00744048"/>
    <w:rsid w:val="00745124"/>
    <w:rsid w:val="007538F4"/>
    <w:rsid w:val="007600BB"/>
    <w:rsid w:val="007710B9"/>
    <w:rsid w:val="00794F1B"/>
    <w:rsid w:val="007A6ECF"/>
    <w:rsid w:val="007C5CBE"/>
    <w:rsid w:val="007D00BA"/>
    <w:rsid w:val="007E7DB9"/>
    <w:rsid w:val="007F660C"/>
    <w:rsid w:val="00815614"/>
    <w:rsid w:val="00816AFF"/>
    <w:rsid w:val="008436F9"/>
    <w:rsid w:val="00855DD7"/>
    <w:rsid w:val="00871778"/>
    <w:rsid w:val="008725C9"/>
    <w:rsid w:val="00875A18"/>
    <w:rsid w:val="00887ABF"/>
    <w:rsid w:val="00892188"/>
    <w:rsid w:val="00895C40"/>
    <w:rsid w:val="008967BF"/>
    <w:rsid w:val="00896D34"/>
    <w:rsid w:val="008A23F1"/>
    <w:rsid w:val="008A53E2"/>
    <w:rsid w:val="008E4E8C"/>
    <w:rsid w:val="008F275B"/>
    <w:rsid w:val="0091079B"/>
    <w:rsid w:val="00913B3B"/>
    <w:rsid w:val="009262B6"/>
    <w:rsid w:val="00927086"/>
    <w:rsid w:val="009436BF"/>
    <w:rsid w:val="00954EDE"/>
    <w:rsid w:val="00955660"/>
    <w:rsid w:val="009648B6"/>
    <w:rsid w:val="00967E77"/>
    <w:rsid w:val="00970670"/>
    <w:rsid w:val="00970C76"/>
    <w:rsid w:val="00974650"/>
    <w:rsid w:val="0097707F"/>
    <w:rsid w:val="009828A6"/>
    <w:rsid w:val="009828E9"/>
    <w:rsid w:val="00982AD3"/>
    <w:rsid w:val="009A26B2"/>
    <w:rsid w:val="009D0A59"/>
    <w:rsid w:val="009D33A0"/>
    <w:rsid w:val="009D4B9C"/>
    <w:rsid w:val="009D6F8F"/>
    <w:rsid w:val="009E7673"/>
    <w:rsid w:val="009F3DB1"/>
    <w:rsid w:val="00A01BD6"/>
    <w:rsid w:val="00A0464B"/>
    <w:rsid w:val="00A04C3D"/>
    <w:rsid w:val="00A12C04"/>
    <w:rsid w:val="00A13FEB"/>
    <w:rsid w:val="00A15AA8"/>
    <w:rsid w:val="00A40EE3"/>
    <w:rsid w:val="00A476D9"/>
    <w:rsid w:val="00A52A67"/>
    <w:rsid w:val="00A56A9A"/>
    <w:rsid w:val="00A66DBD"/>
    <w:rsid w:val="00A913F1"/>
    <w:rsid w:val="00A925B1"/>
    <w:rsid w:val="00AA32C3"/>
    <w:rsid w:val="00AA5023"/>
    <w:rsid w:val="00AB5BAD"/>
    <w:rsid w:val="00AD0A2F"/>
    <w:rsid w:val="00AE4AA6"/>
    <w:rsid w:val="00AF406A"/>
    <w:rsid w:val="00B04525"/>
    <w:rsid w:val="00B10DA5"/>
    <w:rsid w:val="00B23A2E"/>
    <w:rsid w:val="00B2608C"/>
    <w:rsid w:val="00B3245B"/>
    <w:rsid w:val="00B34B95"/>
    <w:rsid w:val="00B37EFF"/>
    <w:rsid w:val="00B55015"/>
    <w:rsid w:val="00B5738A"/>
    <w:rsid w:val="00B644F8"/>
    <w:rsid w:val="00B7542A"/>
    <w:rsid w:val="00B87D3D"/>
    <w:rsid w:val="00B921BE"/>
    <w:rsid w:val="00B97A56"/>
    <w:rsid w:val="00BA67CA"/>
    <w:rsid w:val="00BD0961"/>
    <w:rsid w:val="00BD779C"/>
    <w:rsid w:val="00BD7E15"/>
    <w:rsid w:val="00BE2262"/>
    <w:rsid w:val="00BE4B4D"/>
    <w:rsid w:val="00BF77F1"/>
    <w:rsid w:val="00C2511D"/>
    <w:rsid w:val="00C410D1"/>
    <w:rsid w:val="00C46947"/>
    <w:rsid w:val="00C82ABF"/>
    <w:rsid w:val="00C87C42"/>
    <w:rsid w:val="00C94857"/>
    <w:rsid w:val="00C957F7"/>
    <w:rsid w:val="00CD1698"/>
    <w:rsid w:val="00CD1C86"/>
    <w:rsid w:val="00CD7CCA"/>
    <w:rsid w:val="00D0661D"/>
    <w:rsid w:val="00D16616"/>
    <w:rsid w:val="00D22896"/>
    <w:rsid w:val="00D62FDD"/>
    <w:rsid w:val="00D707CA"/>
    <w:rsid w:val="00D801AC"/>
    <w:rsid w:val="00D85BBF"/>
    <w:rsid w:val="00DA325D"/>
    <w:rsid w:val="00DA795B"/>
    <w:rsid w:val="00DB600A"/>
    <w:rsid w:val="00DE51B7"/>
    <w:rsid w:val="00DE77C5"/>
    <w:rsid w:val="00E0151D"/>
    <w:rsid w:val="00E04885"/>
    <w:rsid w:val="00E205FC"/>
    <w:rsid w:val="00E4446C"/>
    <w:rsid w:val="00E5370C"/>
    <w:rsid w:val="00E54147"/>
    <w:rsid w:val="00E6241A"/>
    <w:rsid w:val="00E64746"/>
    <w:rsid w:val="00E76EB3"/>
    <w:rsid w:val="00E8034B"/>
    <w:rsid w:val="00E93F9A"/>
    <w:rsid w:val="00EA0879"/>
    <w:rsid w:val="00EC5756"/>
    <w:rsid w:val="00ED5569"/>
    <w:rsid w:val="00F143A8"/>
    <w:rsid w:val="00F23073"/>
    <w:rsid w:val="00F436FC"/>
    <w:rsid w:val="00F43ABA"/>
    <w:rsid w:val="00F44EBA"/>
    <w:rsid w:val="00F567B9"/>
    <w:rsid w:val="00F56A96"/>
    <w:rsid w:val="00F67784"/>
    <w:rsid w:val="00F7492D"/>
    <w:rsid w:val="00F87137"/>
    <w:rsid w:val="00FA0E56"/>
    <w:rsid w:val="00FF2576"/>
    <w:rsid w:val="00FF5F1A"/>
    <w:rsid w:val="0F7023DD"/>
    <w:rsid w:val="37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AFCC07C-19B3-4A03-A03E-2F8A708B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uiPriority="0"/>
    <w:lsdException w:name="Body Text First Indent" w:uiPriority="0"/>
    <w:lsdException w:name="Body Text First Indent 2" w:uiPriority="0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paragraph" w:styleId="1">
    <w:name w:val="heading 1"/>
    <w:basedOn w:val="Normal0"/>
    <w:next w:val="Normal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6"/>
    <w:next w:val="a6"/>
    <w:uiPriority w:val="9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6"/>
    <w:next w:val="a6"/>
    <w:uiPriority w:val="9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6"/>
    <w:next w:val="a6"/>
    <w:uiPriority w:val="9"/>
    <w:qFormat/>
    <w:pPr>
      <w:keepNext/>
      <w:keepLines/>
      <w:spacing w:before="280" w:after="290" w:line="377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6"/>
    <w:next w:val="a6"/>
    <w:link w:val="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spacing w:val="6"/>
      <w:kern w:val="0"/>
      <w:sz w:val="20"/>
      <w:szCs w:val="20"/>
    </w:rPr>
  </w:style>
  <w:style w:type="paragraph" w:styleId="6">
    <w:name w:val="heading 6"/>
    <w:basedOn w:val="a6"/>
    <w:next w:val="a6"/>
    <w:uiPriority w:val="9"/>
    <w:qFormat/>
    <w:pPr>
      <w:keepNext/>
      <w:keepLines/>
      <w:spacing w:before="240" w:after="64" w:line="319" w:lineRule="auto"/>
      <w:outlineLvl w:val="5"/>
    </w:pPr>
    <w:rPr>
      <w:rFonts w:ascii="Calibri Light" w:hAnsi="Calibri Light"/>
      <w:b/>
      <w:bCs/>
      <w:sz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Normal0">
    <w:name w:val="Normal_0"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aa">
    <w:name w:val="Normal Indent"/>
    <w:basedOn w:val="a6"/>
    <w:pPr>
      <w:ind w:firstLineChars="200" w:firstLine="200"/>
    </w:pPr>
  </w:style>
  <w:style w:type="paragraph" w:styleId="50">
    <w:name w:val="index 5"/>
    <w:basedOn w:val="a6"/>
    <w:next w:val="a6"/>
    <w:qFormat/>
    <w:pPr>
      <w:ind w:left="1680"/>
    </w:pPr>
    <w:rPr>
      <w:rFonts w:cs="Arial"/>
      <w:szCs w:val="22"/>
    </w:rPr>
  </w:style>
  <w:style w:type="paragraph" w:styleId="ab">
    <w:name w:val="annotation text"/>
    <w:basedOn w:val="a6"/>
    <w:qFormat/>
    <w:pPr>
      <w:jc w:val="left"/>
    </w:pPr>
    <w:rPr>
      <w:rFonts w:cs="Arial"/>
    </w:rPr>
  </w:style>
  <w:style w:type="paragraph" w:styleId="ac">
    <w:name w:val="Body Text"/>
    <w:basedOn w:val="a6"/>
    <w:pPr>
      <w:ind w:left="118"/>
    </w:pPr>
    <w:rPr>
      <w:rFonts w:ascii="宋体" w:hAnsi="宋体" w:cs="Arial"/>
      <w:sz w:val="28"/>
      <w:szCs w:val="28"/>
    </w:rPr>
  </w:style>
  <w:style w:type="paragraph" w:styleId="ad">
    <w:name w:val="Body Text Indent"/>
    <w:basedOn w:val="a6"/>
    <w:pPr>
      <w:spacing w:after="120"/>
      <w:ind w:leftChars="200" w:left="200"/>
    </w:pPr>
  </w:style>
  <w:style w:type="paragraph" w:styleId="51">
    <w:name w:val="toc 5"/>
    <w:basedOn w:val="a6"/>
    <w:next w:val="a6"/>
    <w:pPr>
      <w:ind w:leftChars="800" w:left="800"/>
    </w:pPr>
  </w:style>
  <w:style w:type="paragraph" w:styleId="30">
    <w:name w:val="toc 3"/>
    <w:basedOn w:val="a6"/>
    <w:next w:val="a6"/>
    <w:pPr>
      <w:ind w:leftChars="400" w:left="400"/>
    </w:pPr>
    <w:rPr>
      <w:rFonts w:cs="Arial"/>
    </w:rPr>
  </w:style>
  <w:style w:type="paragraph" w:styleId="ae">
    <w:name w:val="Plain Text"/>
    <w:basedOn w:val="a6"/>
    <w:rPr>
      <w:rFonts w:ascii="宋体" w:hAnsi="Courier New" w:cs="Courier New"/>
      <w:szCs w:val="21"/>
    </w:rPr>
  </w:style>
  <w:style w:type="paragraph" w:styleId="af">
    <w:name w:val="Date"/>
    <w:basedOn w:val="a6"/>
    <w:next w:val="a6"/>
    <w:pPr>
      <w:ind w:leftChars="2500" w:left="2500"/>
    </w:pPr>
  </w:style>
  <w:style w:type="paragraph" w:styleId="20">
    <w:name w:val="Body Text Indent 2"/>
    <w:basedOn w:val="a6"/>
    <w:pPr>
      <w:spacing w:after="120" w:line="480" w:lineRule="auto"/>
      <w:ind w:leftChars="200" w:left="200"/>
    </w:pPr>
  </w:style>
  <w:style w:type="paragraph" w:styleId="af0">
    <w:name w:val="Balloon Text"/>
    <w:basedOn w:val="a6"/>
    <w:qFormat/>
    <w:rPr>
      <w:sz w:val="18"/>
      <w:szCs w:val="18"/>
    </w:rPr>
  </w:style>
  <w:style w:type="paragraph" w:styleId="af1">
    <w:name w:val="footer"/>
    <w:basedOn w:val="a6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6"/>
    <w:next w:val="a6"/>
    <w:rPr>
      <w:rFonts w:cs="Arial"/>
    </w:rPr>
  </w:style>
  <w:style w:type="paragraph" w:styleId="40">
    <w:name w:val="toc 4"/>
    <w:basedOn w:val="a6"/>
    <w:next w:val="a6"/>
    <w:pPr>
      <w:ind w:leftChars="600" w:left="600"/>
    </w:pPr>
    <w:rPr>
      <w:rFonts w:cs="Arial"/>
    </w:rPr>
  </w:style>
  <w:style w:type="paragraph" w:styleId="af3">
    <w:name w:val="Subtitle"/>
    <w:basedOn w:val="a6"/>
    <w:next w:val="a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1">
    <w:name w:val="toc 2"/>
    <w:basedOn w:val="a6"/>
    <w:next w:val="a6"/>
    <w:pPr>
      <w:ind w:leftChars="200" w:left="200"/>
    </w:pPr>
    <w:rPr>
      <w:rFonts w:cs="Arial"/>
    </w:rPr>
  </w:style>
  <w:style w:type="paragraph" w:styleId="22">
    <w:name w:val="Body Text 2"/>
    <w:basedOn w:val="a6"/>
    <w:pPr>
      <w:spacing w:after="120" w:line="480" w:lineRule="auto"/>
    </w:pPr>
  </w:style>
  <w:style w:type="paragraph" w:styleId="HTML">
    <w:name w:val="HTML Preformatted"/>
    <w:basedOn w:val="a6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f4">
    <w:name w:val="Normal (Web)"/>
    <w:basedOn w:val="a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Title"/>
    <w:basedOn w:val="a6"/>
    <w:pPr>
      <w:jc w:val="center"/>
      <w:outlineLvl w:val="0"/>
    </w:pPr>
    <w:rPr>
      <w:rFonts w:ascii="Arial" w:hAnsi="Arial" w:cs="Arial"/>
      <w:b/>
      <w:sz w:val="32"/>
    </w:rPr>
  </w:style>
  <w:style w:type="paragraph" w:styleId="af6">
    <w:name w:val="Body Text First Indent"/>
    <w:basedOn w:val="ac"/>
    <w:pPr>
      <w:spacing w:after="120"/>
      <w:ind w:left="0" w:firstLineChars="100" w:firstLine="100"/>
    </w:pPr>
    <w:rPr>
      <w:rFonts w:ascii="Calibri" w:hAnsi="Calibri" w:cs="Times New Roman"/>
      <w:sz w:val="21"/>
      <w:szCs w:val="24"/>
    </w:rPr>
  </w:style>
  <w:style w:type="paragraph" w:styleId="23">
    <w:name w:val="Body Text First Indent 2"/>
    <w:basedOn w:val="ad"/>
    <w:pPr>
      <w:ind w:firstLineChars="200" w:firstLine="200"/>
    </w:pPr>
  </w:style>
  <w:style w:type="table" w:styleId="af7">
    <w:name w:val="Table Grid"/>
    <w:basedOn w:val="a8"/>
    <w:uiPriority w:val="3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rPr>
      <w:b/>
    </w:rPr>
  </w:style>
  <w:style w:type="character" w:styleId="af9">
    <w:name w:val="page number"/>
    <w:basedOn w:val="a7"/>
  </w:style>
  <w:style w:type="character" w:styleId="afa">
    <w:name w:val="FollowedHyperlink"/>
    <w:basedOn w:val="a7"/>
    <w:qFormat/>
    <w:rPr>
      <w:color w:val="954F72"/>
      <w:u w:val="single"/>
    </w:rPr>
  </w:style>
  <w:style w:type="character" w:styleId="afb">
    <w:name w:val="Hyperlink"/>
    <w:basedOn w:val="a7"/>
    <w:qFormat/>
    <w:rPr>
      <w:color w:val="0000FF"/>
      <w:u w:val="single"/>
    </w:rPr>
  </w:style>
  <w:style w:type="paragraph" w:styleId="afc">
    <w:name w:val="List Paragraph"/>
    <w:basedOn w:val="a6"/>
    <w:uiPriority w:val="34"/>
    <w:qFormat/>
    <w:pPr>
      <w:ind w:firstLineChars="200" w:firstLine="200"/>
    </w:pPr>
    <w:rPr>
      <w:szCs w:val="22"/>
    </w:rPr>
  </w:style>
  <w:style w:type="paragraph" w:customStyle="1" w:styleId="Normal000">
    <w:name w:val="Normal_0_0_0"/>
    <w:pPr>
      <w:widowControl w:val="0"/>
      <w:jc w:val="both"/>
    </w:pPr>
    <w:rPr>
      <w:rFonts w:ascii="Calibri" w:hAnsi="Calibri" w:cs="Times New Roman"/>
    </w:rPr>
  </w:style>
  <w:style w:type="paragraph" w:customStyle="1" w:styleId="Style1">
    <w:name w:val="_Style 1"/>
    <w:basedOn w:val="a6"/>
    <w:pPr>
      <w:ind w:firstLineChars="200" w:firstLine="200"/>
    </w:pPr>
    <w:rPr>
      <w:rFonts w:cs="Arial"/>
    </w:rPr>
  </w:style>
  <w:style w:type="paragraph" w:customStyle="1" w:styleId="afd">
    <w:name w:val="段"/>
    <w:pPr>
      <w:tabs>
        <w:tab w:val="center" w:pos="4201"/>
        <w:tab w:val="right" w:leader="dot" w:pos="9298"/>
      </w:tabs>
      <w:autoSpaceDE w:val="0"/>
      <w:autoSpaceDN w:val="0"/>
      <w:ind w:firstLineChars="200" w:firstLine="200"/>
      <w:jc w:val="both"/>
    </w:pPr>
    <w:rPr>
      <w:rFonts w:ascii="宋体" w:cs="Times New Roman"/>
      <w:sz w:val="21"/>
    </w:rPr>
  </w:style>
  <w:style w:type="paragraph" w:customStyle="1" w:styleId="Heading21">
    <w:name w:val="Heading #2|1"/>
    <w:basedOn w:val="a6"/>
    <w:pPr>
      <w:spacing w:after="460" w:line="708" w:lineRule="exact"/>
      <w:jc w:val="center"/>
      <w:outlineLvl w:val="1"/>
    </w:pPr>
    <w:rPr>
      <w:rFonts w:ascii="宋体" w:hAnsi="宋体" w:cs="宋体"/>
      <w:kern w:val="0"/>
      <w:sz w:val="40"/>
      <w:szCs w:val="40"/>
      <w:lang w:val="zh-TW" w:eastAsia="zh-TW" w:bidi="zh-TW"/>
    </w:rPr>
  </w:style>
  <w:style w:type="paragraph" w:customStyle="1" w:styleId="Bodytext1">
    <w:name w:val="Body text|1"/>
    <w:basedOn w:val="a6"/>
    <w:pPr>
      <w:spacing w:line="456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customStyle="1" w:styleId="11">
    <w:name w:val="普通(网站)1"/>
    <w:basedOn w:val="a6"/>
    <w:pPr>
      <w:widowControl/>
      <w:spacing w:before="100" w:beforeAutospacing="1" w:after="100" w:afterAutospacing="1"/>
      <w:jc w:val="left"/>
    </w:pPr>
    <w:rPr>
      <w:rFonts w:cs="黑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Times New Roman"/>
      <w:color w:val="000000"/>
      <w:sz w:val="24"/>
      <w:szCs w:val="22"/>
    </w:rPr>
  </w:style>
  <w:style w:type="paragraph" w:customStyle="1" w:styleId="27-">
    <w:name w:val="27-正文"/>
    <w:basedOn w:val="a6"/>
    <w:pPr>
      <w:adjustRightInd w:val="0"/>
      <w:snapToGrid w:val="0"/>
      <w:spacing w:line="520" w:lineRule="exact"/>
      <w:ind w:firstLineChars="200" w:firstLine="200"/>
    </w:pPr>
    <w:rPr>
      <w:kern w:val="0"/>
      <w:sz w:val="28"/>
      <w:szCs w:val="28"/>
    </w:rPr>
  </w:style>
  <w:style w:type="character" w:customStyle="1" w:styleId="NormalCharacter">
    <w:name w:val="NormalCharacter"/>
    <w:qFormat/>
    <w:rPr>
      <w:kern w:val="2"/>
      <w:sz w:val="21"/>
      <w:szCs w:val="24"/>
      <w:lang w:val="en-US" w:eastAsia="zh-CN" w:bidi="ar-SA"/>
    </w:rPr>
  </w:style>
  <w:style w:type="paragraph" w:customStyle="1" w:styleId="UserStyle0">
    <w:name w:val="UserStyle_0"/>
    <w:basedOn w:val="a6"/>
    <w:next w:val="a6"/>
    <w:pPr>
      <w:spacing w:line="600" w:lineRule="exact"/>
      <w:ind w:firstLineChars="200" w:firstLine="200"/>
      <w:jc w:val="left"/>
      <w:textAlignment w:val="baseline"/>
    </w:pPr>
    <w:rPr>
      <w:rFonts w:eastAsia="仿宋_GB2312" w:cs="Arial"/>
      <w:sz w:val="32"/>
      <w:szCs w:val="32"/>
    </w:rPr>
  </w:style>
  <w:style w:type="paragraph" w:customStyle="1" w:styleId="afe">
    <w:name w:val="表格文本"/>
    <w:basedOn w:val="a6"/>
    <w:pPr>
      <w:spacing w:line="240" w:lineRule="atLeast"/>
      <w:jc w:val="center"/>
    </w:pPr>
    <w:rPr>
      <w:rFonts w:ascii="宋体" w:hAnsi="宋体"/>
      <w:kern w:val="0"/>
      <w:sz w:val="20"/>
      <w:szCs w:val="21"/>
    </w:rPr>
  </w:style>
  <w:style w:type="paragraph" w:customStyle="1" w:styleId="41">
    <w:name w:val="正文缩进（4号宋体）"/>
    <w:basedOn w:val="aa"/>
    <w:rPr>
      <w:rFonts w:ascii="宋体" w:hAnsi="宋体" w:cs="宋体"/>
      <w:sz w:val="24"/>
    </w:rPr>
  </w:style>
  <w:style w:type="paragraph" w:customStyle="1" w:styleId="Normal00">
    <w:name w:val="Normal_0_0"/>
    <w:pPr>
      <w:widowControl w:val="0"/>
      <w:jc w:val="both"/>
    </w:pPr>
    <w:rPr>
      <w:rFonts w:cs="Times New Roman"/>
      <w:kern w:val="2"/>
      <w:sz w:val="21"/>
      <w:szCs w:val="24"/>
    </w:rPr>
  </w:style>
  <w:style w:type="paragraph" w:customStyle="1" w:styleId="aff">
    <w:name w:val="规定表题"/>
    <w:basedOn w:val="a6"/>
    <w:pPr>
      <w:spacing w:before="120"/>
      <w:jc w:val="center"/>
    </w:pPr>
    <w:rPr>
      <w:b/>
      <w:w w:val="86"/>
      <w:szCs w:val="22"/>
    </w:rPr>
  </w:style>
  <w:style w:type="paragraph" w:customStyle="1" w:styleId="-">
    <w:name w:val="威-四级目录"/>
    <w:basedOn w:val="a6"/>
    <w:pPr>
      <w:spacing w:line="360" w:lineRule="auto"/>
      <w:ind w:firstLineChars="200" w:firstLine="200"/>
    </w:pPr>
    <w:rPr>
      <w:sz w:val="28"/>
      <w:szCs w:val="28"/>
    </w:rPr>
  </w:style>
  <w:style w:type="paragraph" w:customStyle="1" w:styleId="TableParagraph">
    <w:name w:val="Table Paragraph"/>
    <w:basedOn w:val="a6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</w:rPr>
  </w:style>
  <w:style w:type="paragraph" w:customStyle="1" w:styleId="new">
    <w:name w:val="正文new"/>
    <w:pPr>
      <w:widowControl w:val="0"/>
      <w:snapToGrid w:val="0"/>
      <w:spacing w:line="360" w:lineRule="auto"/>
      <w:ind w:firstLineChars="200" w:firstLine="200"/>
      <w:jc w:val="both"/>
    </w:pPr>
    <w:rPr>
      <w:rFonts w:ascii="仿宋" w:eastAsia="仿宋" w:hAnsi="方正兰亭黑_GBK" w:cs="Times New Roman"/>
      <w:color w:val="000000"/>
      <w:sz w:val="28"/>
      <w:szCs w:val="28"/>
      <w:lang w:bidi="en-US"/>
    </w:rPr>
  </w:style>
  <w:style w:type="paragraph" w:customStyle="1" w:styleId="12">
    <w:name w:val="无间隔1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DCI">
    <w:name w:val="DCI正文"/>
    <w:basedOn w:val="a6"/>
    <w:pPr>
      <w:ind w:firstLineChars="177" w:firstLine="177"/>
    </w:pPr>
    <w:rPr>
      <w:szCs w:val="32"/>
    </w:rPr>
  </w:style>
  <w:style w:type="paragraph" w:customStyle="1" w:styleId="152">
    <w:name w:val="样式 四号 行距: 1.5 倍行距 首行缩进:  2 字符"/>
    <w:basedOn w:val="a6"/>
    <w:pPr>
      <w:suppressAutoHyphens/>
      <w:spacing w:line="360" w:lineRule="auto"/>
      <w:ind w:firstLineChars="200" w:firstLine="200"/>
    </w:pPr>
    <w:rPr>
      <w:rFonts w:ascii="CESI仿宋-GB2312" w:eastAsia="CESI仿宋-GB2312" w:cs="宋体"/>
      <w:sz w:val="28"/>
      <w:szCs w:val="20"/>
    </w:rPr>
  </w:style>
  <w:style w:type="paragraph" w:styleId="aff0">
    <w:name w:val="No Spacing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customStyle="1" w:styleId="font31">
    <w:name w:val="font31"/>
    <w:basedOn w:val="a7"/>
    <w:rPr>
      <w:rFonts w:ascii="宋体" w:eastAsia="宋体" w:hAnsi="宋体" w:cs="宋体"/>
      <w:color w:val="000000"/>
      <w:sz w:val="22"/>
      <w:szCs w:val="22"/>
      <w:u w:val="none"/>
    </w:rPr>
  </w:style>
  <w:style w:type="paragraph" w:customStyle="1" w:styleId="24">
    <w:name w:val="无间隔2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paragraph" w:customStyle="1" w:styleId="Style5">
    <w:name w:val="_Style 5"/>
    <w:basedOn w:val="a6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0"/>
      <w:szCs w:val="20"/>
    </w:rPr>
  </w:style>
  <w:style w:type="paragraph" w:customStyle="1" w:styleId="13">
    <w:name w:val="正文缩进1"/>
    <w:basedOn w:val="a6"/>
    <w:pPr>
      <w:ind w:firstLine="420"/>
    </w:pPr>
  </w:style>
  <w:style w:type="paragraph" w:customStyle="1" w:styleId="210">
    <w:name w:val="正文首行缩进 21"/>
    <w:basedOn w:val="a6"/>
    <w:pPr>
      <w:ind w:leftChars="200" w:left="200" w:firstLineChars="200" w:firstLine="200"/>
    </w:pPr>
  </w:style>
  <w:style w:type="character" w:customStyle="1" w:styleId="14">
    <w:name w:val="明显参考1"/>
    <w:basedOn w:val="a7"/>
    <w:rPr>
      <w:b/>
      <w:bCs/>
      <w:smallCaps/>
      <w:color w:val="4F81BD"/>
      <w:spacing w:val="5"/>
    </w:rPr>
  </w:style>
  <w:style w:type="paragraph" w:customStyle="1" w:styleId="15">
    <w:name w:val="样式1"/>
    <w:basedOn w:val="a6"/>
    <w:qFormat/>
    <w:rPr>
      <w:rFonts w:cs="Arial"/>
      <w:b/>
      <w:bCs/>
      <w:color w:val="538135"/>
      <w:sz w:val="28"/>
      <w:szCs w:val="22"/>
    </w:rPr>
  </w:style>
  <w:style w:type="paragraph" w:customStyle="1" w:styleId="aff1">
    <w:name w:val="标准文件_段"/>
    <w:pPr>
      <w:autoSpaceDE w:val="0"/>
      <w:autoSpaceDN w:val="0"/>
      <w:ind w:firstLineChars="200" w:firstLine="200"/>
      <w:jc w:val="both"/>
    </w:pPr>
    <w:rPr>
      <w:rFonts w:ascii="宋体" w:cs="Times New Roman"/>
      <w:sz w:val="21"/>
    </w:rPr>
  </w:style>
  <w:style w:type="paragraph" w:customStyle="1" w:styleId="TableText">
    <w:name w:val="Table Text"/>
    <w:basedOn w:val="a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customStyle="1" w:styleId="112">
    <w:name w:val="样式 正文11 + 首行缩进:  2 字符"/>
    <w:basedOn w:val="a6"/>
    <w:pPr>
      <w:spacing w:line="600" w:lineRule="exact"/>
      <w:ind w:firstLineChars="200" w:firstLine="200"/>
    </w:pPr>
    <w:rPr>
      <w:rFonts w:ascii="宋体" w:hAnsi="Times New Roman" w:cs="宋体"/>
      <w:color w:val="FF0000"/>
      <w:sz w:val="32"/>
      <w:szCs w:val="20"/>
    </w:rPr>
  </w:style>
  <w:style w:type="paragraph" w:customStyle="1" w:styleId="BodyTextFirstIndent1">
    <w:name w:val="Body Text First Indent1"/>
    <w:basedOn w:val="ac"/>
    <w:pPr>
      <w:spacing w:after="120" w:line="360" w:lineRule="auto"/>
      <w:ind w:left="0" w:firstLineChars="100" w:firstLine="100"/>
    </w:pPr>
    <w:rPr>
      <w:rFonts w:ascii="Calibri" w:hAnsi="Calibri" w:cs="Times New Roman"/>
      <w:sz w:val="21"/>
      <w:szCs w:val="24"/>
    </w:rPr>
  </w:style>
  <w:style w:type="character" w:customStyle="1" w:styleId="font01">
    <w:name w:val="font01"/>
    <w:basedOn w:val="a7"/>
    <w:rPr>
      <w:rFonts w:ascii="宋体" w:eastAsia="宋体" w:hAnsi="宋体" w:cs="宋体"/>
      <w:color w:val="000000"/>
      <w:sz w:val="22"/>
      <w:szCs w:val="22"/>
      <w:u w:val="none"/>
    </w:rPr>
  </w:style>
  <w:style w:type="paragraph" w:customStyle="1" w:styleId="msolistparagraph0">
    <w:name w:val="msolistparagraph"/>
    <w:basedOn w:val="a6"/>
    <w:pPr>
      <w:ind w:firstLineChars="200" w:firstLine="200"/>
    </w:pPr>
    <w:rPr>
      <w:szCs w:val="22"/>
    </w:rPr>
  </w:style>
  <w:style w:type="paragraph" w:customStyle="1" w:styleId="ql-align-justify">
    <w:name w:val="ql-align-justify"/>
    <w:basedOn w:val="a6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ff2">
    <w:name w:val="正文文字"/>
    <w:basedOn w:val="a6"/>
    <w:next w:val="a6"/>
    <w:qFormat/>
    <w:pPr>
      <w:spacing w:after="120"/>
    </w:pPr>
    <w:rPr>
      <w:rFonts w:cs="Arial"/>
      <w:szCs w:val="22"/>
    </w:rPr>
  </w:style>
  <w:style w:type="paragraph" w:customStyle="1" w:styleId="16">
    <w:name w:val="正文1"/>
    <w:qFormat/>
    <w:pPr>
      <w:widowControl w:val="0"/>
      <w:tabs>
        <w:tab w:val="left" w:pos="567"/>
      </w:tabs>
      <w:adjustRightInd w:val="0"/>
      <w:snapToGrid w:val="0"/>
      <w:spacing w:line="360" w:lineRule="auto"/>
      <w:ind w:firstLineChars="200" w:firstLine="200"/>
      <w:jc w:val="both"/>
      <w:textAlignment w:val="baseline"/>
    </w:pPr>
    <w:rPr>
      <w:rFonts w:ascii="宋体" w:cs="Times New Roman"/>
      <w:sz w:val="28"/>
    </w:rPr>
  </w:style>
  <w:style w:type="character" w:customStyle="1" w:styleId="font21">
    <w:name w:val="font21"/>
    <w:qFormat/>
    <w:rPr>
      <w:rFonts w:ascii="宋体" w:eastAsia="宋体" w:cs="宋体"/>
      <w:color w:val="000000"/>
      <w:sz w:val="21"/>
      <w:szCs w:val="21"/>
      <w:u w:val="none"/>
    </w:rPr>
  </w:style>
  <w:style w:type="paragraph" w:customStyle="1" w:styleId="Char">
    <w:name w:val="Char"/>
    <w:basedOn w:val="a6"/>
    <w:qFormat/>
    <w:pPr>
      <w:numPr>
        <w:numId w:val="1"/>
      </w:numPr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qFormat/>
  </w:style>
  <w:style w:type="paragraph" w:customStyle="1" w:styleId="text-tag">
    <w:name w:val="text-tag"/>
    <w:basedOn w:val="a6"/>
    <w:qFormat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</w:rPr>
  </w:style>
  <w:style w:type="paragraph" w:customStyle="1" w:styleId="17">
    <w:name w:val="修订1"/>
    <w:qFormat/>
    <w:rPr>
      <w:rFonts w:ascii="等线" w:eastAsia="等线" w:cs="Times New Roman"/>
      <w:kern w:val="2"/>
      <w:sz w:val="21"/>
      <w:szCs w:val="22"/>
    </w:rPr>
  </w:style>
  <w:style w:type="paragraph" w:customStyle="1" w:styleId="-1">
    <w:name w:val="正文-公1"/>
    <w:next w:val="af2"/>
    <w:qFormat/>
    <w:pPr>
      <w:widowControl w:val="0"/>
      <w:ind w:firstLineChars="200" w:firstLine="200"/>
      <w:jc w:val="both"/>
    </w:pPr>
    <w:rPr>
      <w:rFonts w:cs="Times New Roman"/>
      <w:color w:val="000000"/>
      <w:kern w:val="2"/>
      <w:sz w:val="21"/>
      <w:szCs w:val="24"/>
    </w:rPr>
  </w:style>
  <w:style w:type="paragraph" w:customStyle="1" w:styleId="BodyTextFirstIndent21">
    <w:name w:val="Body Text First Indent 21"/>
    <w:basedOn w:val="a6"/>
    <w:qFormat/>
    <w:pPr>
      <w:suppressAutoHyphens/>
      <w:ind w:leftChars="200" w:left="200" w:firstLineChars="200" w:firstLine="200"/>
    </w:pPr>
    <w:rPr>
      <w:rFonts w:cs="Arial"/>
      <w:szCs w:val="22"/>
    </w:rPr>
  </w:style>
  <w:style w:type="character" w:customStyle="1" w:styleId="130">
    <w:name w:val="样式13"/>
    <w:qFormat/>
    <w:rPr>
      <w:rFonts w:ascii="Times New Roman" w:eastAsia="宋体" w:hAnsi="Times New Roman"/>
      <w:sz w:val="28"/>
    </w:rPr>
  </w:style>
  <w:style w:type="paragraph" w:customStyle="1" w:styleId="18">
    <w:name w:val="列出段落1"/>
    <w:qFormat/>
    <w:pPr>
      <w:widowControl w:val="0"/>
      <w:ind w:firstLineChars="200" w:firstLine="200"/>
      <w:jc w:val="both"/>
    </w:pPr>
    <w:rPr>
      <w:rFonts w:cs="Times New Roman"/>
      <w:kern w:val="2"/>
      <w:sz w:val="21"/>
      <w:szCs w:val="21"/>
    </w:rPr>
  </w:style>
  <w:style w:type="paragraph" w:customStyle="1" w:styleId="a2">
    <w:name w:val="标准文件_二级条标题"/>
    <w:next w:val="aff1"/>
    <w:qFormat/>
    <w:pPr>
      <w:widowControl w:val="0"/>
      <w:numPr>
        <w:ilvl w:val="3"/>
        <w:numId w:val="2"/>
      </w:numPr>
      <w:jc w:val="both"/>
      <w:outlineLvl w:val="2"/>
    </w:pPr>
    <w:rPr>
      <w:rFonts w:ascii="黑体" w:eastAsia="黑体" w:cs="Times New Roman"/>
      <w:sz w:val="21"/>
    </w:rPr>
  </w:style>
  <w:style w:type="paragraph" w:customStyle="1" w:styleId="a3">
    <w:name w:val="标准文件_三级条标题"/>
    <w:basedOn w:val="a2"/>
    <w:next w:val="aff1"/>
    <w:qFormat/>
    <w:pPr>
      <w:widowControl/>
      <w:numPr>
        <w:ilvl w:val="4"/>
      </w:numPr>
      <w:ind w:left="0"/>
      <w:outlineLvl w:val="3"/>
    </w:pPr>
  </w:style>
  <w:style w:type="paragraph" w:customStyle="1" w:styleId="a4">
    <w:name w:val="标准文件_四级条标题"/>
    <w:next w:val="aff1"/>
    <w:qFormat/>
    <w:pPr>
      <w:widowControl w:val="0"/>
      <w:numPr>
        <w:ilvl w:val="5"/>
        <w:numId w:val="2"/>
      </w:numPr>
      <w:jc w:val="both"/>
      <w:outlineLvl w:val="4"/>
    </w:pPr>
    <w:rPr>
      <w:rFonts w:ascii="黑体" w:eastAsia="黑体" w:cs="Times New Roman"/>
      <w:sz w:val="21"/>
    </w:rPr>
  </w:style>
  <w:style w:type="paragraph" w:customStyle="1" w:styleId="a5">
    <w:name w:val="标准文件_五级条标题"/>
    <w:next w:val="aff1"/>
    <w:qFormat/>
    <w:pPr>
      <w:widowControl w:val="0"/>
      <w:numPr>
        <w:ilvl w:val="6"/>
        <w:numId w:val="2"/>
      </w:numPr>
      <w:jc w:val="both"/>
      <w:outlineLvl w:val="5"/>
    </w:pPr>
    <w:rPr>
      <w:rFonts w:ascii="黑体" w:eastAsia="黑体" w:cs="Times New Roman"/>
      <w:sz w:val="21"/>
    </w:rPr>
  </w:style>
  <w:style w:type="paragraph" w:customStyle="1" w:styleId="a0">
    <w:name w:val="标准文件_章标题"/>
    <w:next w:val="aff1"/>
    <w:qFormat/>
    <w:pPr>
      <w:numPr>
        <w:ilvl w:val="1"/>
        <w:numId w:val="2"/>
      </w:numPr>
      <w:jc w:val="both"/>
      <w:outlineLvl w:val="0"/>
    </w:pPr>
    <w:rPr>
      <w:rFonts w:ascii="黑体" w:eastAsia="黑体" w:cs="Times New Roman"/>
      <w:sz w:val="21"/>
    </w:rPr>
  </w:style>
  <w:style w:type="paragraph" w:customStyle="1" w:styleId="a1">
    <w:name w:val="标准文件_一级条标题"/>
    <w:basedOn w:val="a0"/>
    <w:next w:val="aff1"/>
    <w:qFormat/>
    <w:pPr>
      <w:numPr>
        <w:ilvl w:val="2"/>
      </w:numPr>
      <w:outlineLvl w:val="1"/>
    </w:pPr>
  </w:style>
  <w:style w:type="paragraph" w:customStyle="1" w:styleId="a">
    <w:name w:val="前言标题"/>
    <w:next w:val="a6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cs="Times New Roman"/>
      <w:sz w:val="32"/>
    </w:rPr>
  </w:style>
  <w:style w:type="paragraph" w:customStyle="1" w:styleId="aff3">
    <w:name w:val="标准文件_二级无标题"/>
    <w:basedOn w:val="a2"/>
    <w:qFormat/>
    <w:pPr>
      <w:outlineLvl w:val="9"/>
    </w:pPr>
    <w:rPr>
      <w:rFonts w:ascii="宋体" w:eastAsia="宋体"/>
    </w:rPr>
  </w:style>
  <w:style w:type="paragraph" w:customStyle="1" w:styleId="Bodytext2">
    <w:name w:val="Body text|2"/>
    <w:basedOn w:val="a6"/>
    <w:qFormat/>
    <w:pPr>
      <w:spacing w:after="520" w:line="749" w:lineRule="exact"/>
      <w:jc w:val="center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Bodytext4">
    <w:name w:val="Body text|4"/>
    <w:basedOn w:val="a6"/>
    <w:qFormat/>
    <w:pPr>
      <w:spacing w:after="340" w:line="591" w:lineRule="exact"/>
      <w:ind w:firstLine="660"/>
      <w:jc w:val="left"/>
    </w:pPr>
    <w:rPr>
      <w:rFonts w:ascii="宋体" w:hAnsi="宋体" w:cs="宋体"/>
      <w:color w:val="000000"/>
      <w:kern w:val="0"/>
      <w:sz w:val="32"/>
      <w:szCs w:val="32"/>
      <w:lang w:val="zh-TW" w:eastAsia="zh-TW" w:bidi="zh-TW"/>
    </w:rPr>
  </w:style>
  <w:style w:type="paragraph" w:customStyle="1" w:styleId="z-">
    <w:name w:val="z-正文"/>
    <w:basedOn w:val="a6"/>
    <w:qFormat/>
    <w:pPr>
      <w:spacing w:line="360" w:lineRule="auto"/>
    </w:pPr>
    <w:rPr>
      <w:sz w:val="24"/>
    </w:rPr>
  </w:style>
  <w:style w:type="paragraph" w:customStyle="1" w:styleId="Normal">
    <w:name w:val="[Normal]"/>
    <w:qFormat/>
    <w:rPr>
      <w:rFonts w:ascii="宋体" w:hAnsi="宋体" w:cs="Times New Roman"/>
      <w:sz w:val="24"/>
    </w:rPr>
  </w:style>
  <w:style w:type="paragraph" w:customStyle="1" w:styleId="25">
    <w:name w:val="列出段落2"/>
    <w:basedOn w:val="a6"/>
    <w:qFormat/>
    <w:pPr>
      <w:widowControl/>
      <w:tabs>
        <w:tab w:val="left" w:pos="1560"/>
      </w:tabs>
      <w:adjustRightInd w:val="0"/>
      <w:snapToGrid w:val="0"/>
      <w:spacing w:line="360" w:lineRule="auto"/>
      <w:ind w:firstLine="630"/>
      <w:jc w:val="left"/>
    </w:pPr>
    <w:rPr>
      <w:rFonts w:ascii="宋体" w:cs="Arial"/>
      <w:bCs/>
      <w:kern w:val="0"/>
      <w:sz w:val="32"/>
      <w:szCs w:val="32"/>
      <w:lang w:bidi="en-US"/>
    </w:rPr>
  </w:style>
  <w:style w:type="character" w:customStyle="1" w:styleId="font71">
    <w:name w:val="font71"/>
    <w:basedOn w:val="a7"/>
    <w:qFormat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New0">
    <w:name w:val="正文 New"/>
    <w:qFormat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Char0">
    <w:name w:val="页脚 Char"/>
    <w:basedOn w:val="a7"/>
    <w:link w:val="af1"/>
    <w:uiPriority w:val="99"/>
    <w:qFormat/>
    <w:rPr>
      <w:rFonts w:ascii="Calibri" w:hAnsi="Calibri" w:cs="Times New Roman"/>
      <w:kern w:val="2"/>
      <w:sz w:val="18"/>
      <w:szCs w:val="18"/>
    </w:rPr>
  </w:style>
  <w:style w:type="character" w:customStyle="1" w:styleId="5Char">
    <w:name w:val="标题 5 Char"/>
    <w:basedOn w:val="a7"/>
    <w:link w:val="5"/>
    <w:uiPriority w:val="9"/>
    <w:qFormat/>
    <w:rPr>
      <w:rFonts w:ascii="宋体" w:hAnsi="宋体" w:cs="宋体"/>
      <w:b/>
      <w:bCs/>
      <w:spacing w:val="6"/>
    </w:rPr>
  </w:style>
  <w:style w:type="character" w:customStyle="1" w:styleId="52">
    <w:name w:val="标题 5 字符"/>
    <w:uiPriority w:val="9"/>
    <w:qFormat/>
    <w:rPr>
      <w:rFonts w:ascii="Calibri" w:eastAsia="宋体" w:hAnsi="Calibri" w:cs="宋体" w:hint="default"/>
      <w:b/>
      <w:bCs/>
      <w:spacing w:val="6"/>
      <w:kern w:val="2"/>
      <w:sz w:val="28"/>
      <w:szCs w:val="28"/>
    </w:rPr>
  </w:style>
  <w:style w:type="character" w:customStyle="1" w:styleId="42">
    <w:name w:val="标题 4 字符"/>
    <w:uiPriority w:val="9"/>
    <w:qFormat/>
    <w:rPr>
      <w:rFonts w:ascii="等线 Light" w:eastAsia="等线 Light" w:hAnsi="等线 Light" w:cs="Times New Roman" w:hint="eastAsia"/>
      <w:b/>
      <w:bCs/>
      <w:spacing w:val="6"/>
      <w:kern w:val="2"/>
      <w:sz w:val="28"/>
      <w:szCs w:val="28"/>
    </w:rPr>
  </w:style>
  <w:style w:type="character" w:customStyle="1" w:styleId="160">
    <w:name w:val="16"/>
    <w:qFormat/>
    <w:rPr>
      <w:rFonts w:ascii="Calibri" w:eastAsia="宋体" w:hAnsi="Calibri" w:cs="宋体" w:hint="default"/>
      <w:kern w:val="2"/>
      <w:sz w:val="18"/>
      <w:szCs w:val="18"/>
    </w:rPr>
  </w:style>
  <w:style w:type="character" w:customStyle="1" w:styleId="aff4">
    <w:name w:val="批注框文本 字符"/>
    <w:qFormat/>
    <w:rPr>
      <w:rFonts w:ascii="Calibri" w:eastAsia="宋体" w:hAnsi="Calibri" w:cs="宋体" w:hint="default"/>
      <w:spacing w:val="6"/>
      <w:kern w:val="2"/>
      <w:sz w:val="18"/>
      <w:szCs w:val="18"/>
    </w:rPr>
  </w:style>
  <w:style w:type="character" w:customStyle="1" w:styleId="31">
    <w:name w:val="标题 3 字符"/>
    <w:uiPriority w:val="9"/>
    <w:qFormat/>
    <w:rPr>
      <w:rFonts w:ascii="Calibri" w:eastAsia="宋体" w:hAnsi="Calibri" w:cs="宋体" w:hint="default"/>
      <w:b/>
      <w:bCs/>
      <w:spacing w:val="6"/>
      <w:kern w:val="2"/>
      <w:sz w:val="32"/>
      <w:szCs w:val="32"/>
    </w:rPr>
  </w:style>
  <w:style w:type="character" w:customStyle="1" w:styleId="250">
    <w:name w:val="25"/>
    <w:qFormat/>
    <w:rPr>
      <w:rFonts w:ascii="Calibri" w:eastAsia="宋体" w:hAnsi="Calibri" w:cs="Calibri" w:hint="default"/>
      <w:kern w:val="2"/>
      <w:sz w:val="18"/>
      <w:szCs w:val="18"/>
    </w:rPr>
  </w:style>
  <w:style w:type="character" w:customStyle="1" w:styleId="240">
    <w:name w:val="24"/>
    <w:qFormat/>
    <w:rPr>
      <w:rFonts w:ascii="Times New Roman" w:hAnsi="Times New Roman" w:cs="Times New Roman" w:hint="default"/>
    </w:rPr>
  </w:style>
  <w:style w:type="character" w:customStyle="1" w:styleId="200">
    <w:name w:val="20"/>
    <w:qFormat/>
    <w:rPr>
      <w:rFonts w:ascii="Calibri" w:hAnsi="Calibri" w:cs="Calibri" w:hint="default"/>
      <w:kern w:val="2"/>
      <w:sz w:val="18"/>
      <w:szCs w:val="18"/>
    </w:rPr>
  </w:style>
  <w:style w:type="character" w:customStyle="1" w:styleId="HTML0">
    <w:name w:val="HTML 预设格式 字符"/>
    <w:qFormat/>
    <w:rPr>
      <w:rFonts w:ascii="Courier New" w:eastAsia="宋体" w:hAnsi="Courier New" w:cs="Courier New" w:hint="default"/>
      <w:spacing w:val="6"/>
      <w:kern w:val="2"/>
    </w:rPr>
  </w:style>
  <w:style w:type="character" w:customStyle="1" w:styleId="aff5">
    <w:name w:val="批注文字 字符"/>
    <w:qFormat/>
    <w:rPr>
      <w:rFonts w:ascii="Calibri" w:eastAsia="宋体" w:hAnsi="Calibri" w:cs="宋体" w:hint="default"/>
      <w:spacing w:val="6"/>
      <w:kern w:val="2"/>
      <w:sz w:val="21"/>
      <w:szCs w:val="21"/>
    </w:rPr>
  </w:style>
  <w:style w:type="character" w:customStyle="1" w:styleId="180">
    <w:name w:val="18"/>
    <w:qFormat/>
    <w:rPr>
      <w:rFonts w:ascii="Calibri" w:hAnsi="Calibri" w:cs="Calibri" w:hint="default"/>
      <w:kern w:val="2"/>
      <w:sz w:val="18"/>
      <w:szCs w:val="18"/>
    </w:rPr>
  </w:style>
  <w:style w:type="character" w:customStyle="1" w:styleId="300">
    <w:name w:val="30"/>
    <w:qFormat/>
    <w:rPr>
      <w:rFonts w:ascii="Wingdings" w:hAnsi="Wingdings" w:hint="default"/>
    </w:rPr>
  </w:style>
  <w:style w:type="character" w:customStyle="1" w:styleId="230">
    <w:name w:val="23"/>
    <w:qFormat/>
    <w:rPr>
      <w:rFonts w:ascii="Calibri" w:eastAsia="宋体" w:hAnsi="Calibri" w:cs="Calibri" w:hint="default"/>
      <w:kern w:val="2"/>
      <w:sz w:val="18"/>
      <w:szCs w:val="18"/>
    </w:rPr>
  </w:style>
  <w:style w:type="character" w:customStyle="1" w:styleId="19">
    <w:name w:val="标题 1 字符"/>
    <w:uiPriority w:val="9"/>
    <w:qFormat/>
    <w:rPr>
      <w:rFonts w:ascii="Calibri" w:eastAsia="宋体" w:hAnsi="Calibri" w:cs="宋体" w:hint="default"/>
      <w:b/>
      <w:bCs/>
      <w:spacing w:val="6"/>
      <w:kern w:val="44"/>
      <w:sz w:val="44"/>
      <w:szCs w:val="44"/>
    </w:rPr>
  </w:style>
  <w:style w:type="character" w:customStyle="1" w:styleId="26">
    <w:name w:val="标题 2 字符"/>
    <w:uiPriority w:val="9"/>
    <w:qFormat/>
    <w:rPr>
      <w:rFonts w:ascii="等线 Light" w:eastAsia="等线 Light" w:hAnsi="等线 Light" w:cs="Times New Roman" w:hint="eastAsia"/>
      <w:b/>
      <w:bCs/>
      <w:spacing w:val="6"/>
      <w:kern w:val="2"/>
      <w:sz w:val="32"/>
      <w:szCs w:val="32"/>
    </w:rPr>
  </w:style>
  <w:style w:type="character" w:customStyle="1" w:styleId="60">
    <w:name w:val="标题 6 字符"/>
    <w:uiPriority w:val="9"/>
    <w:qFormat/>
    <w:rPr>
      <w:rFonts w:ascii="等线 Light" w:eastAsia="等线 Light" w:hAnsi="等线 Light" w:cs="Times New Roman" w:hint="eastAsia"/>
      <w:b/>
      <w:bCs/>
      <w:spacing w:val="6"/>
      <w:kern w:val="2"/>
      <w:sz w:val="24"/>
      <w:szCs w:val="24"/>
    </w:rPr>
  </w:style>
  <w:style w:type="character" w:customStyle="1" w:styleId="100">
    <w:name w:val="10"/>
    <w:qFormat/>
    <w:rPr>
      <w:rFonts w:ascii="Times New Roman" w:hAnsi="Times New Roman" w:cs="Times New Roman" w:hint="default"/>
    </w:rPr>
  </w:style>
  <w:style w:type="character" w:customStyle="1" w:styleId="220">
    <w:name w:val="22"/>
    <w:qFormat/>
    <w:rPr>
      <w:rFonts w:ascii="Calibri" w:hAnsi="Calibri" w:cs="Calibri" w:hint="default"/>
    </w:rPr>
  </w:style>
  <w:style w:type="character" w:customStyle="1" w:styleId="170">
    <w:name w:val="17"/>
    <w:qFormat/>
    <w:rPr>
      <w:rFonts w:ascii="Calibri" w:eastAsia="宋体" w:hAnsi="Calibri" w:cs="宋体" w:hint="default"/>
      <w:kern w:val="2"/>
      <w:sz w:val="18"/>
      <w:szCs w:val="18"/>
    </w:rPr>
  </w:style>
  <w:style w:type="character" w:customStyle="1" w:styleId="260">
    <w:name w:val="26"/>
    <w:qFormat/>
    <w:rPr>
      <w:rFonts w:ascii="Calibri" w:eastAsia="宋体" w:hAnsi="Calibri" w:cs="宋体" w:hint="default"/>
      <w:kern w:val="2"/>
      <w:sz w:val="18"/>
      <w:szCs w:val="18"/>
    </w:rPr>
  </w:style>
  <w:style w:type="character" w:customStyle="1" w:styleId="190">
    <w:name w:val="19"/>
    <w:qFormat/>
    <w:rPr>
      <w:rFonts w:ascii="Times New Roman" w:hAnsi="Times New Roman" w:cs="Times New Roman" w:hint="default"/>
    </w:rPr>
  </w:style>
  <w:style w:type="character" w:customStyle="1" w:styleId="211">
    <w:name w:val="21"/>
    <w:qFormat/>
    <w:rPr>
      <w:rFonts w:ascii="Calibri" w:eastAsia="宋体" w:hAnsi="Calibri" w:cs="Calibri" w:hint="default"/>
      <w:kern w:val="2"/>
      <w:sz w:val="18"/>
      <w:szCs w:val="18"/>
    </w:rPr>
  </w:style>
  <w:style w:type="character" w:customStyle="1" w:styleId="310">
    <w:name w:val="31"/>
    <w:qFormat/>
    <w:rPr>
      <w:rFonts w:ascii="Times New Roman" w:hAnsi="Times New Roman" w:cs="Times New Roman" w:hint="default"/>
    </w:rPr>
  </w:style>
  <w:style w:type="character" w:customStyle="1" w:styleId="28">
    <w:name w:val="28"/>
    <w:qFormat/>
    <w:rPr>
      <w:rFonts w:ascii="Calibri" w:hAnsi="Calibri" w:cs="Calibri" w:hint="default"/>
      <w:kern w:val="2"/>
      <w:sz w:val="18"/>
      <w:szCs w:val="18"/>
    </w:rPr>
  </w:style>
  <w:style w:type="character" w:customStyle="1" w:styleId="27">
    <w:name w:val="27"/>
    <w:qFormat/>
    <w:rPr>
      <w:rFonts w:ascii="Calibri" w:eastAsia="宋体" w:hAnsi="Calibri" w:cs="Calibri" w:hint="default"/>
      <w:kern w:val="2"/>
      <w:sz w:val="18"/>
      <w:szCs w:val="18"/>
    </w:rPr>
  </w:style>
  <w:style w:type="character" w:customStyle="1" w:styleId="29">
    <w:name w:val="29"/>
    <w:qFormat/>
    <w:rPr>
      <w:rFonts w:ascii="Calibri" w:eastAsia="宋体" w:hAnsi="Calibri" w:cs="Calibri" w:hint="default"/>
      <w:kern w:val="2"/>
      <w:sz w:val="18"/>
      <w:szCs w:val="18"/>
    </w:rPr>
  </w:style>
  <w:style w:type="character" w:customStyle="1" w:styleId="150">
    <w:name w:val="15"/>
    <w:qFormat/>
    <w:rPr>
      <w:rFonts w:ascii="Calibri" w:eastAsia="宋体" w:hAnsi="Calibri" w:cs="Calibri" w:hint="default"/>
      <w:kern w:val="2"/>
      <w:sz w:val="18"/>
      <w:szCs w:val="18"/>
    </w:rPr>
  </w:style>
  <w:style w:type="character" w:customStyle="1" w:styleId="aff6">
    <w:name w:val="页脚 字符"/>
    <w:uiPriority w:val="99"/>
    <w:qFormat/>
    <w:rPr>
      <w:rFonts w:ascii="Calibri" w:eastAsia="宋体" w:hAnsi="Calibri" w:cs="宋体" w:hint="default"/>
      <w:spacing w:val="6"/>
      <w:kern w:val="2"/>
      <w:sz w:val="18"/>
      <w:szCs w:val="18"/>
    </w:rPr>
  </w:style>
  <w:style w:type="character" w:customStyle="1" w:styleId="aff7">
    <w:name w:val="页眉 字符"/>
    <w:qFormat/>
    <w:rPr>
      <w:rFonts w:ascii="Calibri" w:eastAsia="宋体" w:hAnsi="Calibri" w:cs="宋体" w:hint="default"/>
      <w:spacing w:val="6"/>
      <w:kern w:val="2"/>
      <w:sz w:val="18"/>
      <w:szCs w:val="18"/>
    </w:rPr>
  </w:style>
  <w:style w:type="paragraph" w:customStyle="1" w:styleId="HTMLCharChar">
    <w:name w:val="HTML 预设格式 Char Char"/>
    <w:basedOn w:val="a6"/>
    <w:qFormat/>
    <w:pPr>
      <w:widowControl/>
      <w:jc w:val="left"/>
    </w:pPr>
    <w:rPr>
      <w:rFonts w:ascii="Courier New" w:hAnsi="Courier New" w:cs="Courier New"/>
      <w:spacing w:val="6"/>
      <w:kern w:val="0"/>
      <w:sz w:val="20"/>
      <w:szCs w:val="20"/>
    </w:rPr>
  </w:style>
  <w:style w:type="paragraph" w:customStyle="1" w:styleId="HTMLChar">
    <w:name w:val="HTML 预设格式 Char"/>
    <w:basedOn w:val="a6"/>
    <w:qFormat/>
    <w:pPr>
      <w:widowControl/>
      <w:jc w:val="left"/>
    </w:pPr>
    <w:rPr>
      <w:rFonts w:ascii="Courier New" w:hAnsi="Courier New" w:cs="Courier New"/>
      <w:spacing w:val="6"/>
      <w:kern w:val="0"/>
      <w:sz w:val="20"/>
      <w:szCs w:val="20"/>
    </w:rPr>
  </w:style>
  <w:style w:type="paragraph" w:customStyle="1" w:styleId="CharChar">
    <w:name w:val="普通(网站) Char Char"/>
    <w:basedOn w:val="a6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spacing w:val="6"/>
      <w:kern w:val="0"/>
      <w:sz w:val="24"/>
    </w:rPr>
  </w:style>
  <w:style w:type="paragraph" w:customStyle="1" w:styleId="msonormal0">
    <w:name w:val="msonormal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普通(网站) Char"/>
    <w:basedOn w:val="a6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spacing w:val="6"/>
      <w:kern w:val="0"/>
      <w:sz w:val="24"/>
    </w:rPr>
  </w:style>
  <w:style w:type="paragraph" w:customStyle="1" w:styleId="msonormal1">
    <w:name w:val="msonormal1"/>
    <w:basedOn w:val="a6"/>
    <w:qFormat/>
    <w:pPr>
      <w:widowControl/>
      <w:spacing w:before="100" w:beforeAutospacing="1" w:after="100" w:afterAutospacing="1"/>
      <w:jc w:val="left"/>
    </w:pPr>
    <w:rPr>
      <w:rFonts w:ascii="Times New Roman" w:eastAsia="等线" w:hAnsi="Times New Roman"/>
      <w:spacing w:val="6"/>
      <w:kern w:val="0"/>
      <w:sz w:val="24"/>
    </w:rPr>
  </w:style>
  <w:style w:type="paragraph" w:customStyle="1" w:styleId="Style51">
    <w:name w:val="_Style 51"/>
    <w:uiPriority w:val="99"/>
    <w:semiHidden/>
    <w:qFormat/>
    <w:rPr>
      <w:rFonts w:ascii="Calibri" w:hAnsi="Calibri" w:cs="宋体"/>
      <w:spacing w:val="6"/>
      <w:kern w:val="2"/>
      <w:sz w:val="21"/>
      <w:szCs w:val="21"/>
    </w:rPr>
  </w:style>
  <w:style w:type="table" w:customStyle="1" w:styleId="U">
    <w:name w:val="U"/>
    <w:basedOn w:val="a8"/>
    <w:qFormat/>
    <w:pPr>
      <w:spacing w:before="100" w:beforeAutospacing="1" w:after="100" w:afterAutospacing="1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8">
    <w:name w:val="吉奥正文"/>
    <w:basedOn w:val="a6"/>
    <w:qFormat/>
    <w:pPr>
      <w:widowControl/>
      <w:spacing w:line="360" w:lineRule="auto"/>
      <w:ind w:firstLineChars="200" w:firstLine="200"/>
    </w:pPr>
    <w:rPr>
      <w:rFonts w:ascii="Times New Roman" w:eastAsia="仿宋" w:hAnsi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啦啦啦♪(^∇^*)</dc:creator>
  <cp:lastModifiedBy>NTKO</cp:lastModifiedBy>
  <cp:revision>2</cp:revision>
  <cp:lastPrinted>2025-09-30T14:07:00Z</cp:lastPrinted>
  <dcterms:created xsi:type="dcterms:W3CDTF">2025-12-17T08:56:00Z</dcterms:created>
  <dcterms:modified xsi:type="dcterms:W3CDTF">2026-03-18T06:14:00Z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eyJoZGlkIjoiODNiYzM0NTRiMTI0MzNlNzI4M2Y5NjdmOWEyYWFlOWUiLCJ1c2VySWQiOiI0NDI3ODkyNDYifQ==</vt:lpwstr>
  </property>
  <property fmtid="{D5CDD505-2E9C-101B-9397-08002B2CF9AE}" pid="4" name="ICV">
    <vt:lpwstr>80D1198A665E409A9D57621C1A33145B_13</vt:lpwstr>
  </property>
</Properties>
</file>