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64" w:lineRule="auto"/>
        <w:jc w:val="left"/>
        <w:rPr>
          <w:rFonts w:ascii="仿宋_GB2312" w:eastAsia="仿宋_GB2312"/>
          <w:spacing w:val="20"/>
          <w:sz w:val="24"/>
          <w:szCs w:val="32"/>
        </w:rPr>
      </w:pPr>
      <w:r>
        <w:rPr>
          <w:rFonts w:hint="eastAsia" w:ascii="仿宋_GB2312" w:eastAsia="仿宋_GB2312"/>
          <w:spacing w:val="20"/>
          <w:sz w:val="32"/>
          <w:szCs w:val="32"/>
        </w:rPr>
        <w:t xml:space="preserve"> </w:t>
      </w:r>
    </w:p>
    <w:p>
      <w:pPr>
        <w:snapToGrid w:val="0"/>
        <w:spacing w:line="264" w:lineRule="auto"/>
        <w:jc w:val="left"/>
        <w:rPr>
          <w:rFonts w:ascii="黑体" w:hAnsi="黑体" w:eastAsia="黑体"/>
          <w:sz w:val="32"/>
          <w:szCs w:val="32"/>
        </w:rPr>
      </w:pPr>
    </w:p>
    <w:p>
      <w:pPr>
        <w:snapToGrid w:val="0"/>
        <w:spacing w:line="264" w:lineRule="auto"/>
        <w:rPr>
          <w:rFonts w:ascii="黑体" w:hAnsi="黑体" w:eastAsia="黑体"/>
          <w:bCs/>
          <w:sz w:val="32"/>
          <w:szCs w:val="29"/>
        </w:rPr>
      </w:pPr>
      <w:r>
        <w:rPr>
          <w:rFonts w:hint="eastAsia" w:ascii="黑体" w:hAnsi="黑体" w:eastAsia="黑体"/>
          <w:bCs/>
          <w:sz w:val="32"/>
          <w:szCs w:val="29"/>
        </w:rPr>
        <w:t>附件</w:t>
      </w:r>
    </w:p>
    <w:p>
      <w:pPr>
        <w:snapToGrid w:val="0"/>
        <w:spacing w:line="264" w:lineRule="auto"/>
        <w:rPr>
          <w:rFonts w:ascii="黑体" w:hAnsi="黑体" w:eastAsia="黑体"/>
          <w:bCs/>
          <w:sz w:val="32"/>
          <w:szCs w:val="29"/>
        </w:rPr>
      </w:pPr>
    </w:p>
    <w:p>
      <w:pPr>
        <w:snapToGrid w:val="0"/>
        <w:spacing w:line="264" w:lineRule="auto"/>
        <w:jc w:val="center"/>
        <w:rPr>
          <w:rFonts w:ascii="方正小标宋_GBK" w:eastAsia="方正小标宋_GBK"/>
          <w:sz w:val="44"/>
          <w:szCs w:val="44"/>
        </w:rPr>
      </w:pPr>
      <w:r>
        <w:rPr>
          <w:rFonts w:hint="eastAsia" w:ascii="方正小标宋_GBK" w:eastAsia="方正小标宋_GBK"/>
          <w:sz w:val="44"/>
          <w:szCs w:val="44"/>
        </w:rPr>
        <w:t>吉林省自然资源厅关于实施点状供地</w:t>
      </w:r>
    </w:p>
    <w:p>
      <w:pPr>
        <w:snapToGrid w:val="0"/>
        <w:spacing w:line="264" w:lineRule="auto"/>
        <w:jc w:val="center"/>
        <w:rPr>
          <w:rFonts w:ascii="方正小标宋_GBK" w:eastAsia="方正小标宋_GBK"/>
          <w:sz w:val="44"/>
          <w:szCs w:val="44"/>
        </w:rPr>
      </w:pPr>
      <w:r>
        <w:rPr>
          <w:rFonts w:hint="eastAsia" w:ascii="方正小标宋_GBK" w:eastAsia="方正小标宋_GBK"/>
          <w:sz w:val="44"/>
          <w:szCs w:val="44"/>
        </w:rPr>
        <w:t>助力乡村产业振兴的指导意见</w:t>
      </w:r>
    </w:p>
    <w:p>
      <w:pPr>
        <w:overflowPunct w:val="0"/>
        <w:adjustRightInd w:val="0"/>
        <w:snapToGrid w:val="0"/>
        <w:spacing w:line="264" w:lineRule="auto"/>
        <w:jc w:val="center"/>
        <w:rPr>
          <w:rFonts w:ascii="楷体_GB2312" w:eastAsia="楷体_GB2312"/>
          <w:sz w:val="32"/>
          <w:szCs w:val="32"/>
        </w:rPr>
      </w:pPr>
      <w:r>
        <w:rPr>
          <w:rFonts w:hint="eastAsia" w:ascii="楷体_GB2312" w:eastAsia="楷体_GB2312"/>
          <w:sz w:val="32"/>
          <w:szCs w:val="32"/>
        </w:rPr>
        <w:t>（征求意见稿）</w:t>
      </w:r>
    </w:p>
    <w:p>
      <w:pPr>
        <w:adjustRightInd w:val="0"/>
        <w:snapToGrid w:val="0"/>
        <w:spacing w:line="341" w:lineRule="auto"/>
        <w:ind w:firstLine="640" w:firstLineChars="200"/>
        <w:rPr>
          <w:rFonts w:ascii="仿宋_GB2312" w:eastAsia="仿宋_GB2312"/>
          <w:sz w:val="32"/>
          <w:szCs w:val="32"/>
        </w:rPr>
      </w:pP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为贯彻落实《国务院关于促进乡村产业振兴的指导意见》（国发〔2019〕12号）、《中共吉林省委 吉林省人民政府关于全面推进乡村振兴 加快农业农村现代化的实施意见》(吉发〔2021〕1号)等文件要求，健全完善我省乡村产业用地保障政策体系，经省政府同意，现就实施点状供地助力乡村产业振兴提出如下意见。</w:t>
      </w:r>
    </w:p>
    <w:p>
      <w:pPr>
        <w:adjustRightInd w:val="0"/>
        <w:snapToGrid w:val="0"/>
        <w:spacing w:line="341" w:lineRule="auto"/>
        <w:ind w:firstLine="640" w:firstLineChars="200"/>
        <w:rPr>
          <w:rFonts w:ascii="黑体" w:hAnsi="黑体" w:eastAsia="黑体"/>
          <w:sz w:val="32"/>
          <w:szCs w:val="32"/>
        </w:rPr>
      </w:pPr>
      <w:r>
        <w:rPr>
          <w:rFonts w:hint="eastAsia" w:ascii="黑体" w:hAnsi="黑体" w:eastAsia="黑体"/>
          <w:sz w:val="32"/>
          <w:szCs w:val="32"/>
        </w:rPr>
        <w:t>一、点状供地内涵及项目实施要求</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（一）点状供地内涵。</w:t>
      </w:r>
      <w:r>
        <w:rPr>
          <w:rFonts w:hint="eastAsia" w:ascii="仿宋_GB2312" w:eastAsia="仿宋_GB2312"/>
          <w:sz w:val="32"/>
          <w:szCs w:val="32"/>
        </w:rPr>
        <w:t>本意见所称点状供地是指在城镇开发边界外，实施乡村产业项目及其配套的基础设施和公共服务设施建设项目，确需使用零星、分散建设用地，结合项目区块地形地貌特征，以及建(构)筑物占地面积、配套设施等点状布局，按照“建多少、转多少、供多少”的原则进行点状报批和点状供应的项目用地方式。</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（二）实施范围。</w:t>
      </w:r>
      <w:r>
        <w:rPr>
          <w:rFonts w:hint="eastAsia" w:ascii="仿宋_GB2312" w:eastAsia="仿宋_GB2312"/>
          <w:sz w:val="32"/>
          <w:szCs w:val="32"/>
        </w:rPr>
        <w:t>现代种养业、农产品加工流通业、乡村休闲旅游业、乡土特色产业、乡村信息产业、乡村新型服务业等乡村产业项目及其配套的基础设施和公共服务设施建设项目，可实施点状供地。</w:t>
      </w:r>
      <w:bookmarkStart w:id="0" w:name="_GoBack"/>
      <w:bookmarkEnd w:id="0"/>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（三）负面清单。</w:t>
      </w:r>
      <w:r>
        <w:rPr>
          <w:rFonts w:hint="eastAsia" w:ascii="仿宋_GB2312" w:eastAsia="仿宋_GB2312"/>
          <w:sz w:val="32"/>
          <w:szCs w:val="32"/>
        </w:rPr>
        <w:t>以下情形不得纳入点状供地范围：</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1.选址不符合相关法律法规和国土空间规划、“三区三线”管控要求的；</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2.选址在地质灾害、洪涝灾害危险区，以及处于地质灾害易发区经评估不能建设的；</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3.挖山填湖、削峰填谷等破坏生态环境的项目；</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4.商品住宅、私家庄园、私人别墅等房地产和变相发展房地产的项目；</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5.应在开发区、工业集中区等产业园区集中布局的工业类项目;</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6.法律法规规定的其他禁止情形。</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（四）实施区域和要求。</w:t>
      </w:r>
      <w:r>
        <w:rPr>
          <w:rFonts w:hint="eastAsia" w:ascii="仿宋_GB2312" w:eastAsia="仿宋_GB2312"/>
          <w:sz w:val="32"/>
          <w:szCs w:val="32"/>
        </w:rPr>
        <w:t>坚持土地公有制性质不改变、耕地红线不突破、农民利益不受损三条底线，按照审慎稳妥渐进原则对点状供地项目实行总量和使用建设用地面积控制。2023年，各市（州）、长白山管委会、梅河口市点状供地项目总数原则上不超过所辖县（市、区）数量的2倍；单个项目使用建设用地面积原则上不超过45亩；以后根据各地实施情况逐年确定项目数量和单个项目建设用地面积。优先在国家乡村振兴示范县、省级乡村振兴重点帮扶县、长吉接合片区国家城乡融合发展试验区、乡村振兴新动能培育试验区、深化农村集体经营性建设用地入市试点县、新一轮农村宅基地制度改革试点县安排点状供地项目。</w:t>
      </w:r>
    </w:p>
    <w:p>
      <w:pPr>
        <w:adjustRightInd w:val="0"/>
        <w:snapToGrid w:val="0"/>
        <w:spacing w:line="341" w:lineRule="auto"/>
        <w:ind w:firstLine="640" w:firstLineChars="200"/>
        <w:rPr>
          <w:rFonts w:ascii="黑体" w:hAnsi="黑体" w:eastAsia="黑体"/>
          <w:sz w:val="32"/>
          <w:szCs w:val="32"/>
        </w:rPr>
      </w:pPr>
      <w:r>
        <w:rPr>
          <w:rFonts w:hint="eastAsia" w:ascii="黑体" w:hAnsi="黑体" w:eastAsia="黑体"/>
          <w:sz w:val="32"/>
          <w:szCs w:val="32"/>
        </w:rPr>
        <w:t>二、国土空间规划和用地计划保障</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（五）强化国土空间规划引领。</w:t>
      </w:r>
      <w:r>
        <w:rPr>
          <w:rFonts w:hint="eastAsia" w:ascii="仿宋_GB2312" w:eastAsia="仿宋_GB2312"/>
          <w:sz w:val="32"/>
          <w:szCs w:val="32"/>
        </w:rPr>
        <w:t>市县要加快编制国土空间规划，优化国土空间结构和产业用地布局，引导各类产业项目按照国土空间规划科学选址。要统筹乡村产业发展，积极引导工业向城镇产业空间集聚，将乡村产业用地纳入国土空间规划体系，并做好与相关专项规划的衔接。</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（六）预留规划弹性空间。</w:t>
      </w:r>
      <w:r>
        <w:rPr>
          <w:rFonts w:hint="eastAsia" w:ascii="仿宋_GB2312" w:eastAsia="仿宋_GB2312"/>
          <w:sz w:val="32"/>
          <w:szCs w:val="32"/>
        </w:rPr>
        <w:t>市县在编制县乡级国土空间规划时，应安排不少于10%的建设用地指标，重点保障乡村产业发展用地。允许规划“留白”，市县可在乡镇国土空间规划和村庄规划中预留不超过5%的建设用地机动指标，优先保障点状供地项目建设；对一时难以明确具体用途的建设用地，可暂不明确规划用地性质。建设项目规划审批时落地机动指标、明确规划用地性质，项目批准后更新乡镇国土空间规划、村庄规划数据库。</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（七）优化调整用地布局。</w:t>
      </w:r>
      <w:r>
        <w:rPr>
          <w:rFonts w:hint="eastAsia" w:ascii="仿宋_GB2312" w:eastAsia="仿宋_GB2312"/>
          <w:sz w:val="32"/>
          <w:szCs w:val="32"/>
        </w:rPr>
        <w:t>点状供地项目选址应当符合国土空间规划。国土空间总体规划批准前，项目用地应当符合依法批准的土地利用总体规划和城市（镇）总体规划，做好与国土空间规划的衔接。超出土地利用总体规划和城市（镇）总体规划的建设项目，要符合“三区三线”管控要求，承诺将项目用地布局和规模纳入在编的国土空间规划，并核定用地规划条件：</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1.项目用地选址符合村庄规划的，根据村庄规划核定规划条件，作为核发乡村规划许可、办理供地手续的依据。</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2.项目用地选址在城镇开发边界外，且在村庄规划未覆盖区域的，在承诺与村庄规划做好衔接的基础上，由县级以上自然资源主管部门核定规划条件，作为核发乡村规划许可、办理供地手续的依据。</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（八）科学开展评估论证。</w:t>
      </w:r>
      <w:r>
        <w:rPr>
          <w:rFonts w:hint="eastAsia" w:ascii="仿宋_GB2312" w:eastAsia="仿宋_GB2312"/>
          <w:sz w:val="32"/>
          <w:szCs w:val="32"/>
        </w:rPr>
        <w:t>县级以上人民政府应当建立点状供地项目联合评估论证机制，由自然资源主管部门牵头会同发展改革、生态环境、住房和城乡建设、农业农村、文化和旅游、乡村振兴、林业和草原等有关部门，对拟实施点状供地的项目范围进行实地踏勘和综合评估论证，并组织编制项目实施方案，报同级人民政府审定后按规定办理规划、用地等手续。</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（九）专项保障用地计划指标。</w:t>
      </w:r>
      <w:r>
        <w:rPr>
          <w:rFonts w:hint="eastAsia" w:ascii="仿宋_GB2312" w:eastAsia="仿宋_GB2312"/>
          <w:sz w:val="32"/>
          <w:szCs w:val="32"/>
        </w:rPr>
        <w:t>市县应将乡村振兴用地纳入年度土地利用计划，通过“增存挂钩”置换的建设用地计划指标，优先保障乡村产业项目用地需求，并重点保障点状供地项目。</w:t>
      </w:r>
    </w:p>
    <w:p>
      <w:pPr>
        <w:adjustRightInd w:val="0"/>
        <w:snapToGrid w:val="0"/>
        <w:spacing w:line="341" w:lineRule="auto"/>
        <w:ind w:firstLine="640" w:firstLineChars="200"/>
        <w:rPr>
          <w:rFonts w:ascii="黑体" w:hAnsi="黑体" w:eastAsia="黑体"/>
          <w:sz w:val="32"/>
          <w:szCs w:val="32"/>
        </w:rPr>
      </w:pPr>
      <w:r>
        <w:rPr>
          <w:rFonts w:hint="eastAsia" w:ascii="黑体" w:hAnsi="黑体" w:eastAsia="黑体"/>
          <w:sz w:val="32"/>
          <w:szCs w:val="32"/>
        </w:rPr>
        <w:t>三、用地审批管理</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（十）按实际用地需求分类审批管理。</w:t>
      </w:r>
      <w:r>
        <w:rPr>
          <w:rFonts w:hint="eastAsia" w:ascii="仿宋_GB2312" w:eastAsia="仿宋_GB2312"/>
          <w:sz w:val="32"/>
          <w:szCs w:val="32"/>
        </w:rPr>
        <w:t>点状供地项目应充分利用现有地形地貌和资源条件，因地制宜、节约集约开发建设，并优先使用存量建设用地以及闲置、低效、废弃的集体建设用地，提高土地利用效率和效益。项目区内的建设用地可按建(构)筑物落地面积垂直开发，涉及占用耕地的，应当严格落实耕地占补平衡。按以下方式审批和管理。</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1.符合《土地管理法》第四十五条征收情形，且确需使用国有建设用地的，按照“建多少、转多少、征多少”的原则，依法办理土地征收、农用地和未利用地转用手续。</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2.使用新增集体建设用地的，按照“建多少、转多少”的原则，纳入年度土地利用计划，依法办理农村集体农用地和未利用地转用手续。</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3.不涉及使用建设用地且符合以下情形的，可以由项目开发主体与土地权利人签订土地使用合同，明确种植、养殖、管护、修复和经营等关系，按原用途或现用途管理：（1）直接利用项目区内农牧渔业种植及养殖用地、生态保留用地，不改变土地现状和用途的，按原用途管理；（2）不涉及占用耕地及永久基本农田、不直接固化地面、不改变土地用途的生态景观、栈道、观景平台，以及零星分散面积不超过200平方米的公共厕所等乡村产业项目配套的基础设施和公共服务设施用地，按原用途管理；（3）依据国土空间规划在历史遗留矿山修复后的土地上发展旅游产业，建设观光台、栈道等非永久性附属设施，在不占用耕地和永久基本农田以及不破坏生态环境、自然景观和不影响地质安全的前提下，其用地可不征收（收回）、不转用，按现用途管理。</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4.项目区内的农村道路、农业设施、直接为林业生产服务的工程设施分别按相关规定管理，并办理相应手续。</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（十一）按批次用地分类报批。</w:t>
      </w:r>
      <w:r>
        <w:rPr>
          <w:rFonts w:hint="eastAsia" w:ascii="仿宋_GB2312" w:eastAsia="仿宋_GB2312"/>
          <w:sz w:val="32"/>
          <w:szCs w:val="32"/>
        </w:rPr>
        <w:t>根据项目实施方案确定的功能布局和建设地块，一次性报批项目区内的土地征收、农用地和未利用地转用，依据审批权限，采取批次建设用地报批方式和要求单独组件报批。按分类管理原则建立项目用地报批及供地台账，并及时在省级政府批准建设用地备案系统分类填报土地征收、农用地和未利用地转用情况，在土地市场动态监测与监管系统中填报土地供应等信息。涉及占用林地的，按建设项目使用林地有关规定办理。</w:t>
      </w:r>
    </w:p>
    <w:p>
      <w:pPr>
        <w:adjustRightInd w:val="0"/>
        <w:snapToGrid w:val="0"/>
        <w:spacing w:line="341" w:lineRule="auto"/>
        <w:ind w:firstLine="640" w:firstLineChars="200"/>
        <w:rPr>
          <w:rFonts w:ascii="黑体" w:hAnsi="黑体" w:eastAsia="黑体"/>
          <w:sz w:val="32"/>
          <w:szCs w:val="32"/>
        </w:rPr>
      </w:pPr>
      <w:r>
        <w:rPr>
          <w:rFonts w:hint="eastAsia" w:ascii="黑体" w:hAnsi="黑体" w:eastAsia="黑体"/>
          <w:sz w:val="32"/>
          <w:szCs w:val="32"/>
        </w:rPr>
        <w:t>四、土地供应管理</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（十二）允许灵活搭配组合供地。</w:t>
      </w:r>
      <w:r>
        <w:rPr>
          <w:rFonts w:hint="eastAsia" w:ascii="仿宋_GB2312" w:eastAsia="仿宋_GB2312"/>
          <w:sz w:val="32"/>
          <w:szCs w:val="32"/>
        </w:rPr>
        <w:t>点状供地项目以项目区为单位供地，项目区为单个地块的，按建设地块单宗供地；项目区为多个地块的，可结合实际需要整体规划建设，合理确定不同地块的面积、用途，按建设地块搭配或组合为一个供地整体，每个独立点状区块按单独宗地组卷后统一供应，灵活搭配使用国有建设用地、集体经营性建设用地、闲置宅基地、农村废旧厂房校舍等不同地类、不同用途土地。</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（十三）实行差异化供地。</w:t>
      </w:r>
      <w:r>
        <w:rPr>
          <w:rFonts w:hint="eastAsia" w:ascii="仿宋_GB2312" w:eastAsia="仿宋_GB2312"/>
          <w:sz w:val="32"/>
          <w:szCs w:val="32"/>
        </w:rPr>
        <w:t>点状供地项目用地可按照国家和省有关规定，实行弹性年期、长期租赁、先租后让、租让结合等方式供应。项目用地为单一用途的，按照规划用途确定土地用途和使用年限；项目区内多种规划用途混合的，应当在项目实施方案中明确各种用途的比例，可按照主导用途确定供应的土地用途和使用年限。</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1.使用国有建设用地，符合《划拨用地目录》的，可按划拨方式供地；经营性用地以及混合用途且包含经营性用地的，须以招标、拍卖、挂牌方式公开供应。</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2.使用集体建设用地，项目开发主体由农村集体经济组织兴办或以土地使用权入股、联营等方式合作举办的，持有关批准文件，向县级以上自然资源主管部门提出申请，按照规定报同级政府批准。</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3.使用规划确定为工业、商业等经营性用途，并经依法登记的集体经营性建设用地，按照国家试点政策，通过出租或出让等方式交由项目开发主体在一定年限内有偿使用。纳入入市试点的县（市、区），经省自然资源厅同意，可适当增加点状供地项目数量和单个项目使用建设用地面积。</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（十四）实施带方案供地。</w:t>
      </w:r>
      <w:r>
        <w:rPr>
          <w:rFonts w:hint="eastAsia" w:ascii="仿宋_GB2312" w:eastAsia="仿宋_GB2312"/>
          <w:sz w:val="32"/>
          <w:szCs w:val="32"/>
        </w:rPr>
        <w:t>点状供地项目可按照规定合理设定供地前置条件，将相关行业主管部门提出的产业类型、标准、形态及规划条件、建筑标准、节地技术、公建配套、用途变更、分割转让限制等要求，与履约监管责任等内容一并纳入供地方案、土地划拨决定书（土地出让合同）或与土地权利人签订的土地使用合同中。按照“谁提出、谁监管”的原则，提出关联条件的部门应要求项目开发主体提交履约承诺书，作为签订（备案）土地出让合同（土地使用合同）的前提条件，并对承诺书的履行情况进行监管。项目开发主体与土地权利人签订的土地使用合同中，应当明确土地开发利用及续期条件，保障项目整体、长期开发运营。</w:t>
      </w:r>
    </w:p>
    <w:p>
      <w:pPr>
        <w:adjustRightInd w:val="0"/>
        <w:snapToGrid w:val="0"/>
        <w:spacing w:line="341" w:lineRule="auto"/>
        <w:ind w:firstLine="640" w:firstLineChars="200"/>
        <w:rPr>
          <w:rFonts w:ascii="黑体" w:hAnsi="黑体" w:eastAsia="黑体"/>
          <w:sz w:val="32"/>
          <w:szCs w:val="32"/>
        </w:rPr>
      </w:pPr>
      <w:r>
        <w:rPr>
          <w:rFonts w:hint="eastAsia" w:ascii="黑体" w:hAnsi="黑体" w:eastAsia="黑体"/>
          <w:sz w:val="32"/>
          <w:szCs w:val="32"/>
        </w:rPr>
        <w:t>五、项目产权和登记发证管理</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（十五）明确分割转让限制。</w:t>
      </w:r>
      <w:r>
        <w:rPr>
          <w:rFonts w:hint="eastAsia" w:ascii="仿宋_GB2312" w:eastAsia="仿宋_GB2312"/>
          <w:sz w:val="32"/>
          <w:szCs w:val="32"/>
        </w:rPr>
        <w:t>点状供地项目产权原则上应整体持有，除法律法规、土地划拨决定书及出让合同明确规定或约定外，不得将点状供地项目区内的建设用地进行分割转让或抵押。点状供地项目办理供地手续时，应对分割转让及抵押的限制予以明确。</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（十六）规范确权登记发证。</w:t>
      </w:r>
      <w:r>
        <w:rPr>
          <w:rFonts w:hint="eastAsia" w:ascii="仿宋_GB2312" w:eastAsia="仿宋_GB2312"/>
          <w:sz w:val="32"/>
          <w:szCs w:val="32"/>
        </w:rPr>
        <w:t>点状供地项目开发主体可按规定申请办理土地使用权、土地使用权及地上房屋建筑物所有权等不动产登记。土地使用权以宗地为单元登记，并核发不动产权证。项目使用土地为多个地块组合供地的，可按项目内各地块的不同规划用途或产权管理需要，核发一宗地一证书或多宗地一证书。</w:t>
      </w:r>
    </w:p>
    <w:p>
      <w:pPr>
        <w:adjustRightInd w:val="0"/>
        <w:snapToGrid w:val="0"/>
        <w:spacing w:line="341" w:lineRule="auto"/>
        <w:ind w:firstLine="640" w:firstLineChars="200"/>
        <w:rPr>
          <w:rFonts w:ascii="黑体" w:hAnsi="黑体" w:eastAsia="黑体"/>
          <w:sz w:val="32"/>
          <w:szCs w:val="32"/>
        </w:rPr>
      </w:pPr>
      <w:r>
        <w:rPr>
          <w:rFonts w:hint="eastAsia" w:ascii="黑体" w:hAnsi="黑体" w:eastAsia="黑体"/>
          <w:sz w:val="32"/>
          <w:szCs w:val="32"/>
        </w:rPr>
        <w:t>六、严格项目用地监管</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（十七）明确项目用地依据。</w:t>
      </w:r>
      <w:r>
        <w:rPr>
          <w:rFonts w:hint="eastAsia" w:ascii="仿宋_GB2312" w:eastAsia="仿宋_GB2312"/>
          <w:sz w:val="32"/>
          <w:szCs w:val="32"/>
        </w:rPr>
        <w:t>拟实施点状供地的乡村产业项目，须有县级以上行业主管部门的支持意见，并依法办理项目审批（核准备案）手续后，项目开发主体方可申请使用建设用地。</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（十八）落实“两个平衡”。</w:t>
      </w:r>
      <w:r>
        <w:rPr>
          <w:rFonts w:hint="eastAsia" w:ascii="仿宋_GB2312" w:eastAsia="仿宋_GB2312"/>
          <w:sz w:val="32"/>
          <w:szCs w:val="32"/>
        </w:rPr>
        <w:t>点状供地项目实施涉及非农业建设占用耕地的，必须严格落实先补后占和占一补一、占优补优、占水田补水田,补充可以长期稳定利用的耕地，做到“占补平衡”。涉及耕地转为林地、草地、园地等其他农用地及农业设施建设用地的，严格按照自然资源部 农业农村部 国家林业和草原局联合印发《关于严格耕地用途管制有关问题的通知》（自然资发〔2021〕166号）、《吉林省年度耕地进出平衡的实施细则》（吉自然资办发〔2022〕166号）等有关规定落实年度耕地“进出平衡”。</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（十九）防止耕地“非农化”“非粮化”行为。</w:t>
      </w:r>
      <w:r>
        <w:rPr>
          <w:rFonts w:hint="eastAsia" w:ascii="仿宋_GB2312" w:eastAsia="仿宋_GB2312"/>
          <w:sz w:val="32"/>
          <w:szCs w:val="32"/>
        </w:rPr>
        <w:t>对批准的点状供地项目，县级以上人民政府及其有关部门，要按照“谁提出、谁监管”“谁主管、谁负责”的原则，对项目实施全要素、全过程的动态联合监管，防止项目区内出现“违建”“违占”问题。要全面落实《国务院办公厅关于坚决制止耕地“非农化”行为的通知》(国办发明电〔2020〕24号)和《国务院办公厅关于防止耕地“非粮化”稳定粮食生产的意见》(国办〔2020〕44号)要求，对耕地“非农化”行为，强化国土空间用途管制，严禁擅自以设施农业为名进行改造和建设，严防乱占耕地绿化造林、挖湖造景、建设“大棚房”等违法违规行为；对耕地“非粮化”，加强管控和引导，依据耕地利用优先序合理确定用途。</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（二十）严格执法监督。</w:t>
      </w:r>
      <w:r>
        <w:rPr>
          <w:rFonts w:hint="eastAsia" w:ascii="仿宋_GB2312" w:eastAsia="仿宋_GB2312"/>
          <w:sz w:val="32"/>
          <w:szCs w:val="32"/>
        </w:rPr>
        <w:t>严禁对负面清单规定情形的项目实施点状批地、点状供地。县级以上人民政府有关部门，要切实加强指导，督促项目开发主体按照批准的项目实施方案、土地划拨决定书（出让合同）、土地使用合同的规定或约定动工开发建设，防止项目用地出现批建不符和闲置低效等情况。对违法违规占用、转让土地以及改变土地用途等行为，要严肃查处，及时处置。</w:t>
      </w:r>
    </w:p>
    <w:p>
      <w:pPr>
        <w:adjustRightInd w:val="0"/>
        <w:snapToGrid w:val="0"/>
        <w:spacing w:line="341" w:lineRule="auto"/>
        <w:ind w:firstLine="640" w:firstLineChars="200"/>
        <w:rPr>
          <w:rFonts w:ascii="黑体" w:hAnsi="黑体" w:eastAsia="黑体"/>
          <w:sz w:val="32"/>
          <w:szCs w:val="32"/>
        </w:rPr>
      </w:pPr>
      <w:r>
        <w:rPr>
          <w:rFonts w:hint="eastAsia" w:ascii="黑体" w:hAnsi="黑体" w:eastAsia="黑体"/>
          <w:sz w:val="32"/>
          <w:szCs w:val="32"/>
        </w:rPr>
        <w:t>七、加强组织领导</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（二十一）加强工作统筹。</w:t>
      </w:r>
      <w:r>
        <w:rPr>
          <w:rFonts w:hint="eastAsia" w:ascii="仿宋_GB2312" w:eastAsia="仿宋_GB2312"/>
          <w:sz w:val="32"/>
          <w:szCs w:val="32"/>
        </w:rPr>
        <w:t>县级以上人民政府要将点状供地作为强化乡村产业项目用地保障，服务巩固脱贫攻坚成果同乡村振兴有效衔接、农产品加工业和食品产业十大产业集群建设、农村人居环境整治、乡村旅游高质量发展等工作的重要抓手，建立起政府负责、部门协同、上下联动、公众参与、社会监督的工作机制，严格规范项目组织实施。要强化行业政策协同集成，切实发挥组合效应。</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（二十二）强化实施管理。</w:t>
      </w:r>
      <w:r>
        <w:rPr>
          <w:rFonts w:hint="eastAsia" w:ascii="仿宋_GB2312" w:eastAsia="仿宋_GB2312"/>
          <w:sz w:val="32"/>
          <w:szCs w:val="32"/>
        </w:rPr>
        <w:t>点状供地项目应当在规划、用地报批材料中对项目实施方案批准情况进行说明，县级以上自然资源主管部门在办理规划、用地手续时，应对项目用地是否符合点状供地要求进行审查。县级以上人民政府和有关职能部门要加强点状供地项目建设、实施和运营的监督指导；项目完工并具备竣工验收条件后,要按照土地划拨决定书（出让合同）或土地使用合同的规定或约定对项目进行联合竣工验收，确保项目依法依规、严格规范。</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（二十三）建立退出机制。</w:t>
      </w:r>
      <w:r>
        <w:rPr>
          <w:rFonts w:hint="eastAsia" w:ascii="仿宋_GB2312" w:eastAsia="仿宋_GB2312"/>
          <w:sz w:val="32"/>
          <w:szCs w:val="32"/>
        </w:rPr>
        <w:t>点状供地项目因政府及其部门方面原因无法实施或项目开发主体未按项目实施方案开发建设的，县级以上政府及其有关部门应按照法律法规、土地划拨决定书及出让合同的规定或约定进行处理处置，收缴土地闲置费、收回土地使用权或主张违约责任。</w:t>
      </w:r>
    </w:p>
    <w:p>
      <w:pPr>
        <w:adjustRightInd w:val="0"/>
        <w:snapToGrid w:val="0"/>
        <w:spacing w:line="341" w:lineRule="auto"/>
        <w:ind w:firstLine="640" w:firstLineChars="200"/>
        <w:rPr>
          <w:rFonts w:ascii="仿宋_GB2312" w:eastAsia="仿宋_GB2312"/>
          <w:sz w:val="32"/>
          <w:szCs w:val="32"/>
        </w:rPr>
      </w:pPr>
      <w:r>
        <w:rPr>
          <w:rFonts w:hint="eastAsia" w:ascii="楷体_GB2312" w:eastAsia="楷体_GB2312"/>
          <w:sz w:val="32"/>
          <w:szCs w:val="32"/>
        </w:rPr>
        <w:t>（二十四）加强评估管控。</w:t>
      </w:r>
      <w:r>
        <w:rPr>
          <w:rFonts w:hint="eastAsia" w:ascii="仿宋_GB2312" w:eastAsia="仿宋_GB2312"/>
          <w:sz w:val="32"/>
          <w:szCs w:val="32"/>
        </w:rPr>
        <w:t>市（州）自然资源主管部门应牵头会同有关部门，对点状供地项目实施情况进行定期评估并形成年度评估报告，经同级人民政府同意后报省自然资源厅。省自然资源厅会同省直有关部门结合各地评估情况和日常管理情况，对各地下一年度点状供地项目数量和用地规模等提出管控要求。</w:t>
      </w:r>
    </w:p>
    <w:p>
      <w:pPr>
        <w:adjustRightInd w:val="0"/>
        <w:snapToGrid w:val="0"/>
        <w:spacing w:line="341" w:lineRule="auto"/>
        <w:ind w:firstLine="640" w:firstLineChars="200"/>
        <w:rPr>
          <w:rFonts w:ascii="仿宋_GB2312" w:eastAsia="仿宋_GB2312"/>
          <w:sz w:val="32"/>
          <w:szCs w:val="32"/>
        </w:rPr>
      </w:pPr>
      <w:r>
        <w:rPr>
          <w:rFonts w:hint="eastAsia" w:ascii="仿宋_GB2312" w:eastAsia="仿宋_GB2312"/>
          <w:sz w:val="32"/>
          <w:szCs w:val="32"/>
        </w:rPr>
        <w:t>各市（州）、县（市）人民政府应按照本通知要求，结合实际制定实施细则。本通知自202X年X月X日起施行，有效期3年。执行中遇到的重大问题请及时报省自然资源厅。</w:t>
      </w:r>
    </w:p>
    <w:p>
      <w:pPr>
        <w:snapToGrid w:val="0"/>
        <w:spacing w:line="341" w:lineRule="auto"/>
        <w:rPr>
          <w:rFonts w:ascii="楷体_GB2312" w:eastAsia="楷体_GB2312"/>
          <w:sz w:val="24"/>
        </w:rPr>
      </w:pPr>
    </w:p>
    <w:sectPr>
      <w:headerReference r:id="rId3" w:type="default"/>
      <w:footerReference r:id="rId4" w:type="default"/>
      <w:footerReference r:id="rId5" w:type="even"/>
      <w:pgSz w:w="11906" w:h="16838"/>
      <w:pgMar w:top="1440" w:right="1531" w:bottom="1440" w:left="1531" w:header="851" w:footer="992" w:gutter="0"/>
      <w:pgBorders w:display="first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兰亭黑_GBK">
    <w:altName w:val="Arial Unicode MS"/>
    <w:panose1 w:val="00000000000000000000"/>
    <w:charset w:val="86"/>
    <w:family w:val="script"/>
    <w:pitch w:val="default"/>
    <w:sig w:usb0="00000000" w:usb1="00000000" w:usb2="0008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024589566"/>
                            <w:docPartObj>
                              <w:docPartGallery w:val="autotext"/>
                            </w:docPartObj>
                          </w:sdtPr>
                          <w:sdtEndPr>
                            <w:rPr>
                              <w:rFonts w:ascii="宋体" w:hAnsi="宋体"/>
                              <w:sz w:val="28"/>
                              <w:szCs w:val="28"/>
                            </w:rPr>
                          </w:sdtEndPr>
                          <w:sdtContent>
                            <w:p>
                              <w:pPr>
                                <w:pStyle w:val="16"/>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rPr>
                              <w:rFonts w:ascii="宋体" w:hAnsi="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sdt>
                    <w:sdtPr>
                      <w:id w:val="2024589566"/>
                      <w:docPartObj>
                        <w:docPartGallery w:val="autotext"/>
                      </w:docPartObj>
                    </w:sdtPr>
                    <w:sdtEndPr>
                      <w:rPr>
                        <w:rFonts w:ascii="宋体" w:hAnsi="宋体"/>
                        <w:sz w:val="28"/>
                        <w:szCs w:val="28"/>
                      </w:rPr>
                    </w:sdtEndPr>
                    <w:sdtContent>
                      <w:p>
                        <w:pPr>
                          <w:pStyle w:val="16"/>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rPr>
                        <w:rFonts w:ascii="宋体" w:hAnsi="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pStyle w:val="67"/>
      <w:suff w:val="nothing"/>
      <w:lvlText w:val="（%1）"/>
      <w:lvlJc w:val="left"/>
      <w:rPr>
        <w:rFonts w:hint="eastAsia"/>
      </w:rPr>
    </w:lvl>
  </w:abstractNum>
  <w:abstractNum w:abstractNumId="1">
    <w:nsid w:val="16B01F47"/>
    <w:multiLevelType w:val="multilevel"/>
    <w:tmpl w:val="16B01F47"/>
    <w:lvl w:ilvl="0" w:tentative="0">
      <w:start w:val="1"/>
      <w:numFmt w:val="japaneseCounting"/>
      <w:pStyle w:val="71"/>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kODgyMGY3MDk5NDE4MDY4ODcwMzNkODAwMzE2MDQifQ=="/>
  </w:docVars>
  <w:rsids>
    <w:rsidRoot w:val="7D8F547A"/>
    <w:rsid w:val="000009BA"/>
    <w:rsid w:val="00006DAD"/>
    <w:rsid w:val="00007687"/>
    <w:rsid w:val="00015F83"/>
    <w:rsid w:val="0002049F"/>
    <w:rsid w:val="000217FC"/>
    <w:rsid w:val="00022514"/>
    <w:rsid w:val="00024B64"/>
    <w:rsid w:val="00025CFD"/>
    <w:rsid w:val="0002610D"/>
    <w:rsid w:val="00031015"/>
    <w:rsid w:val="00033449"/>
    <w:rsid w:val="0003402F"/>
    <w:rsid w:val="0003422F"/>
    <w:rsid w:val="000365ED"/>
    <w:rsid w:val="00037E36"/>
    <w:rsid w:val="00040136"/>
    <w:rsid w:val="0004155F"/>
    <w:rsid w:val="00041780"/>
    <w:rsid w:val="00044859"/>
    <w:rsid w:val="00047F5B"/>
    <w:rsid w:val="0005262E"/>
    <w:rsid w:val="00053238"/>
    <w:rsid w:val="0005603E"/>
    <w:rsid w:val="000604C7"/>
    <w:rsid w:val="00062792"/>
    <w:rsid w:val="000627B1"/>
    <w:rsid w:val="00064A38"/>
    <w:rsid w:val="00071020"/>
    <w:rsid w:val="00073D77"/>
    <w:rsid w:val="00075946"/>
    <w:rsid w:val="0007779D"/>
    <w:rsid w:val="00080A9F"/>
    <w:rsid w:val="000821E3"/>
    <w:rsid w:val="00083D8C"/>
    <w:rsid w:val="00084B6A"/>
    <w:rsid w:val="00086C65"/>
    <w:rsid w:val="00087E46"/>
    <w:rsid w:val="000900D9"/>
    <w:rsid w:val="00091EB4"/>
    <w:rsid w:val="00095107"/>
    <w:rsid w:val="0009619D"/>
    <w:rsid w:val="00097642"/>
    <w:rsid w:val="000A16B1"/>
    <w:rsid w:val="000A380F"/>
    <w:rsid w:val="000A5B3E"/>
    <w:rsid w:val="000A7E98"/>
    <w:rsid w:val="000B16DA"/>
    <w:rsid w:val="000B640E"/>
    <w:rsid w:val="000C07EE"/>
    <w:rsid w:val="000C1977"/>
    <w:rsid w:val="000C3FAD"/>
    <w:rsid w:val="000C57D6"/>
    <w:rsid w:val="000C6DBB"/>
    <w:rsid w:val="000D02AA"/>
    <w:rsid w:val="000D177F"/>
    <w:rsid w:val="000D1DFE"/>
    <w:rsid w:val="000D38D1"/>
    <w:rsid w:val="000D394A"/>
    <w:rsid w:val="000D4C00"/>
    <w:rsid w:val="000D52BB"/>
    <w:rsid w:val="000D6558"/>
    <w:rsid w:val="000E21F9"/>
    <w:rsid w:val="000E274E"/>
    <w:rsid w:val="000E2BE3"/>
    <w:rsid w:val="000E361E"/>
    <w:rsid w:val="000E3744"/>
    <w:rsid w:val="000E39A7"/>
    <w:rsid w:val="000E3C21"/>
    <w:rsid w:val="000E5788"/>
    <w:rsid w:val="000E5F82"/>
    <w:rsid w:val="000F0523"/>
    <w:rsid w:val="0010018D"/>
    <w:rsid w:val="00100781"/>
    <w:rsid w:val="00101C47"/>
    <w:rsid w:val="00101E68"/>
    <w:rsid w:val="00103916"/>
    <w:rsid w:val="00103B3D"/>
    <w:rsid w:val="00104BD5"/>
    <w:rsid w:val="00104FE7"/>
    <w:rsid w:val="00105DD3"/>
    <w:rsid w:val="001126C3"/>
    <w:rsid w:val="00130AAA"/>
    <w:rsid w:val="00130F33"/>
    <w:rsid w:val="00133630"/>
    <w:rsid w:val="00134037"/>
    <w:rsid w:val="00135EAD"/>
    <w:rsid w:val="00136573"/>
    <w:rsid w:val="0014337B"/>
    <w:rsid w:val="00146AA3"/>
    <w:rsid w:val="00150216"/>
    <w:rsid w:val="00150B5B"/>
    <w:rsid w:val="00152D8D"/>
    <w:rsid w:val="00157B4B"/>
    <w:rsid w:val="00157CAA"/>
    <w:rsid w:val="00157EB6"/>
    <w:rsid w:val="001660EE"/>
    <w:rsid w:val="001662CC"/>
    <w:rsid w:val="001667F3"/>
    <w:rsid w:val="00170431"/>
    <w:rsid w:val="0017204F"/>
    <w:rsid w:val="00173347"/>
    <w:rsid w:val="00183759"/>
    <w:rsid w:val="001861C2"/>
    <w:rsid w:val="00193F1A"/>
    <w:rsid w:val="00195699"/>
    <w:rsid w:val="00195D13"/>
    <w:rsid w:val="001974AC"/>
    <w:rsid w:val="001A30AB"/>
    <w:rsid w:val="001A3FBF"/>
    <w:rsid w:val="001A5192"/>
    <w:rsid w:val="001A776C"/>
    <w:rsid w:val="001B24F2"/>
    <w:rsid w:val="001B5EE6"/>
    <w:rsid w:val="001B61B8"/>
    <w:rsid w:val="001B7569"/>
    <w:rsid w:val="001B760F"/>
    <w:rsid w:val="001C1729"/>
    <w:rsid w:val="001C4586"/>
    <w:rsid w:val="001C6504"/>
    <w:rsid w:val="001C6BFB"/>
    <w:rsid w:val="001D0CA8"/>
    <w:rsid w:val="001D0ED7"/>
    <w:rsid w:val="001D0EEB"/>
    <w:rsid w:val="001D2358"/>
    <w:rsid w:val="001D3031"/>
    <w:rsid w:val="001D4C87"/>
    <w:rsid w:val="001D5BBE"/>
    <w:rsid w:val="001D5BFC"/>
    <w:rsid w:val="001D7AAA"/>
    <w:rsid w:val="001E4AC2"/>
    <w:rsid w:val="001E5473"/>
    <w:rsid w:val="001E5F9F"/>
    <w:rsid w:val="001F069C"/>
    <w:rsid w:val="001F1AE0"/>
    <w:rsid w:val="001F1B42"/>
    <w:rsid w:val="001F2358"/>
    <w:rsid w:val="001F2F83"/>
    <w:rsid w:val="001F4534"/>
    <w:rsid w:val="002002A1"/>
    <w:rsid w:val="00202EE2"/>
    <w:rsid w:val="002058CB"/>
    <w:rsid w:val="0021069F"/>
    <w:rsid w:val="00210AED"/>
    <w:rsid w:val="00210E1D"/>
    <w:rsid w:val="0021164A"/>
    <w:rsid w:val="00213597"/>
    <w:rsid w:val="00214387"/>
    <w:rsid w:val="00214CE3"/>
    <w:rsid w:val="00215D7E"/>
    <w:rsid w:val="00217780"/>
    <w:rsid w:val="00220C9E"/>
    <w:rsid w:val="0022182B"/>
    <w:rsid w:val="00224761"/>
    <w:rsid w:val="00226BFA"/>
    <w:rsid w:val="002301B7"/>
    <w:rsid w:val="00234104"/>
    <w:rsid w:val="0023727F"/>
    <w:rsid w:val="00243D19"/>
    <w:rsid w:val="00243F76"/>
    <w:rsid w:val="00244089"/>
    <w:rsid w:val="00252A21"/>
    <w:rsid w:val="002543CE"/>
    <w:rsid w:val="00261731"/>
    <w:rsid w:val="00262281"/>
    <w:rsid w:val="0026305E"/>
    <w:rsid w:val="00264883"/>
    <w:rsid w:val="00264D3C"/>
    <w:rsid w:val="0026551F"/>
    <w:rsid w:val="00267258"/>
    <w:rsid w:val="002703B5"/>
    <w:rsid w:val="00271033"/>
    <w:rsid w:val="00272AE5"/>
    <w:rsid w:val="00273EE1"/>
    <w:rsid w:val="00275392"/>
    <w:rsid w:val="00277160"/>
    <w:rsid w:val="0027759B"/>
    <w:rsid w:val="002820DF"/>
    <w:rsid w:val="00282A4E"/>
    <w:rsid w:val="00290526"/>
    <w:rsid w:val="00291800"/>
    <w:rsid w:val="0029217A"/>
    <w:rsid w:val="002928E3"/>
    <w:rsid w:val="00295BC4"/>
    <w:rsid w:val="002A4BE1"/>
    <w:rsid w:val="002A618A"/>
    <w:rsid w:val="002A693D"/>
    <w:rsid w:val="002A6AFB"/>
    <w:rsid w:val="002A6D09"/>
    <w:rsid w:val="002A7FDA"/>
    <w:rsid w:val="002B0F95"/>
    <w:rsid w:val="002B2B39"/>
    <w:rsid w:val="002B3DBA"/>
    <w:rsid w:val="002B4607"/>
    <w:rsid w:val="002B60AF"/>
    <w:rsid w:val="002B68EF"/>
    <w:rsid w:val="002B6D5B"/>
    <w:rsid w:val="002C2A86"/>
    <w:rsid w:val="002C44DA"/>
    <w:rsid w:val="002C51F4"/>
    <w:rsid w:val="002C5C8F"/>
    <w:rsid w:val="002C7E1F"/>
    <w:rsid w:val="002D23CF"/>
    <w:rsid w:val="002D44BC"/>
    <w:rsid w:val="002D778A"/>
    <w:rsid w:val="002E315D"/>
    <w:rsid w:val="002E682F"/>
    <w:rsid w:val="002E7179"/>
    <w:rsid w:val="002E7BCD"/>
    <w:rsid w:val="002F4BCF"/>
    <w:rsid w:val="002F50AF"/>
    <w:rsid w:val="002F58BB"/>
    <w:rsid w:val="002F7B91"/>
    <w:rsid w:val="003022E9"/>
    <w:rsid w:val="0030252B"/>
    <w:rsid w:val="00303991"/>
    <w:rsid w:val="00304228"/>
    <w:rsid w:val="003061C6"/>
    <w:rsid w:val="00306783"/>
    <w:rsid w:val="00307A75"/>
    <w:rsid w:val="00314723"/>
    <w:rsid w:val="00317B77"/>
    <w:rsid w:val="00320764"/>
    <w:rsid w:val="00320D80"/>
    <w:rsid w:val="00324BCF"/>
    <w:rsid w:val="003250C2"/>
    <w:rsid w:val="003266EA"/>
    <w:rsid w:val="00326EF3"/>
    <w:rsid w:val="00333D68"/>
    <w:rsid w:val="003410CC"/>
    <w:rsid w:val="003438DF"/>
    <w:rsid w:val="00344F1C"/>
    <w:rsid w:val="00345DAA"/>
    <w:rsid w:val="003501F3"/>
    <w:rsid w:val="00350970"/>
    <w:rsid w:val="00352E14"/>
    <w:rsid w:val="003540AC"/>
    <w:rsid w:val="0035595D"/>
    <w:rsid w:val="0035618F"/>
    <w:rsid w:val="00361FC6"/>
    <w:rsid w:val="003657CD"/>
    <w:rsid w:val="0036581B"/>
    <w:rsid w:val="00365AF9"/>
    <w:rsid w:val="00366525"/>
    <w:rsid w:val="00371CF0"/>
    <w:rsid w:val="00373395"/>
    <w:rsid w:val="00374392"/>
    <w:rsid w:val="00375EB6"/>
    <w:rsid w:val="00375FF2"/>
    <w:rsid w:val="0037720E"/>
    <w:rsid w:val="00382164"/>
    <w:rsid w:val="00382736"/>
    <w:rsid w:val="00383840"/>
    <w:rsid w:val="00383AD2"/>
    <w:rsid w:val="0038619B"/>
    <w:rsid w:val="00386366"/>
    <w:rsid w:val="003867DA"/>
    <w:rsid w:val="00386B85"/>
    <w:rsid w:val="00396222"/>
    <w:rsid w:val="003A1156"/>
    <w:rsid w:val="003A139C"/>
    <w:rsid w:val="003A232E"/>
    <w:rsid w:val="003B45E9"/>
    <w:rsid w:val="003B6AEC"/>
    <w:rsid w:val="003B7375"/>
    <w:rsid w:val="003B7984"/>
    <w:rsid w:val="003C0C1A"/>
    <w:rsid w:val="003C1C5D"/>
    <w:rsid w:val="003C1E82"/>
    <w:rsid w:val="003C1EED"/>
    <w:rsid w:val="003C279A"/>
    <w:rsid w:val="003C2C78"/>
    <w:rsid w:val="003C300F"/>
    <w:rsid w:val="003C6664"/>
    <w:rsid w:val="003C6A0C"/>
    <w:rsid w:val="003C7D98"/>
    <w:rsid w:val="003D0A9B"/>
    <w:rsid w:val="003D1AB0"/>
    <w:rsid w:val="003D406B"/>
    <w:rsid w:val="003D588D"/>
    <w:rsid w:val="003D6E89"/>
    <w:rsid w:val="003E1D7E"/>
    <w:rsid w:val="003E29E9"/>
    <w:rsid w:val="003E5D7F"/>
    <w:rsid w:val="003E74B6"/>
    <w:rsid w:val="003F1403"/>
    <w:rsid w:val="003F17A6"/>
    <w:rsid w:val="003F73B5"/>
    <w:rsid w:val="00401E7E"/>
    <w:rsid w:val="00406B09"/>
    <w:rsid w:val="00407743"/>
    <w:rsid w:val="00410883"/>
    <w:rsid w:val="00410941"/>
    <w:rsid w:val="00411BBA"/>
    <w:rsid w:val="00413769"/>
    <w:rsid w:val="00417262"/>
    <w:rsid w:val="00422411"/>
    <w:rsid w:val="004318B1"/>
    <w:rsid w:val="004328B2"/>
    <w:rsid w:val="00435EEC"/>
    <w:rsid w:val="0043641B"/>
    <w:rsid w:val="004365DD"/>
    <w:rsid w:val="00436E29"/>
    <w:rsid w:val="004409C3"/>
    <w:rsid w:val="004412E2"/>
    <w:rsid w:val="00442FDB"/>
    <w:rsid w:val="00445385"/>
    <w:rsid w:val="00446D3F"/>
    <w:rsid w:val="00446EE0"/>
    <w:rsid w:val="004474CA"/>
    <w:rsid w:val="0044762C"/>
    <w:rsid w:val="004509F5"/>
    <w:rsid w:val="00451427"/>
    <w:rsid w:val="00451ED0"/>
    <w:rsid w:val="00452B9C"/>
    <w:rsid w:val="00457412"/>
    <w:rsid w:val="00460115"/>
    <w:rsid w:val="00461A43"/>
    <w:rsid w:val="0046352C"/>
    <w:rsid w:val="00471C5C"/>
    <w:rsid w:val="00476007"/>
    <w:rsid w:val="00477849"/>
    <w:rsid w:val="0048038B"/>
    <w:rsid w:val="00480C16"/>
    <w:rsid w:val="00481167"/>
    <w:rsid w:val="00483812"/>
    <w:rsid w:val="004862AF"/>
    <w:rsid w:val="004869B3"/>
    <w:rsid w:val="004872F4"/>
    <w:rsid w:val="00490420"/>
    <w:rsid w:val="00490C7C"/>
    <w:rsid w:val="0049201D"/>
    <w:rsid w:val="00495B87"/>
    <w:rsid w:val="004A0F28"/>
    <w:rsid w:val="004A39C9"/>
    <w:rsid w:val="004A60F5"/>
    <w:rsid w:val="004A6EA1"/>
    <w:rsid w:val="004B2B94"/>
    <w:rsid w:val="004B6778"/>
    <w:rsid w:val="004B68F6"/>
    <w:rsid w:val="004B6E86"/>
    <w:rsid w:val="004C1D53"/>
    <w:rsid w:val="004C2BA8"/>
    <w:rsid w:val="004C2E49"/>
    <w:rsid w:val="004C552C"/>
    <w:rsid w:val="004D06F2"/>
    <w:rsid w:val="004D2A90"/>
    <w:rsid w:val="004D2BF3"/>
    <w:rsid w:val="004D75DE"/>
    <w:rsid w:val="004E04CF"/>
    <w:rsid w:val="004E24B7"/>
    <w:rsid w:val="004F220E"/>
    <w:rsid w:val="004F2379"/>
    <w:rsid w:val="004F25DE"/>
    <w:rsid w:val="004F428B"/>
    <w:rsid w:val="004F431F"/>
    <w:rsid w:val="004F4E13"/>
    <w:rsid w:val="004F5306"/>
    <w:rsid w:val="004F5D99"/>
    <w:rsid w:val="004F71B7"/>
    <w:rsid w:val="00502752"/>
    <w:rsid w:val="005028B6"/>
    <w:rsid w:val="00503706"/>
    <w:rsid w:val="00504133"/>
    <w:rsid w:val="005043AB"/>
    <w:rsid w:val="0051150D"/>
    <w:rsid w:val="00514D59"/>
    <w:rsid w:val="005215CB"/>
    <w:rsid w:val="005231B3"/>
    <w:rsid w:val="0052769F"/>
    <w:rsid w:val="00531465"/>
    <w:rsid w:val="005314C6"/>
    <w:rsid w:val="0053241C"/>
    <w:rsid w:val="00533F23"/>
    <w:rsid w:val="00535AE7"/>
    <w:rsid w:val="00541679"/>
    <w:rsid w:val="00541DF5"/>
    <w:rsid w:val="00541E94"/>
    <w:rsid w:val="00545E97"/>
    <w:rsid w:val="005560B6"/>
    <w:rsid w:val="0055793A"/>
    <w:rsid w:val="00557FB3"/>
    <w:rsid w:val="00561067"/>
    <w:rsid w:val="00562B32"/>
    <w:rsid w:val="005634AF"/>
    <w:rsid w:val="00563E3D"/>
    <w:rsid w:val="0057057D"/>
    <w:rsid w:val="00571EBB"/>
    <w:rsid w:val="00573871"/>
    <w:rsid w:val="00574A91"/>
    <w:rsid w:val="00576F67"/>
    <w:rsid w:val="005844D2"/>
    <w:rsid w:val="00584978"/>
    <w:rsid w:val="005908AD"/>
    <w:rsid w:val="00590BF2"/>
    <w:rsid w:val="00591A08"/>
    <w:rsid w:val="0059507D"/>
    <w:rsid w:val="005A16BC"/>
    <w:rsid w:val="005A43C1"/>
    <w:rsid w:val="005A6782"/>
    <w:rsid w:val="005A7388"/>
    <w:rsid w:val="005B0089"/>
    <w:rsid w:val="005B25C3"/>
    <w:rsid w:val="005B60E4"/>
    <w:rsid w:val="005C316A"/>
    <w:rsid w:val="005D178E"/>
    <w:rsid w:val="005D4EEE"/>
    <w:rsid w:val="005D7BFB"/>
    <w:rsid w:val="005E09F7"/>
    <w:rsid w:val="005E1134"/>
    <w:rsid w:val="005E1A25"/>
    <w:rsid w:val="005E38C5"/>
    <w:rsid w:val="005E3F5F"/>
    <w:rsid w:val="005E432A"/>
    <w:rsid w:val="005E60B7"/>
    <w:rsid w:val="005F4919"/>
    <w:rsid w:val="005F6DB9"/>
    <w:rsid w:val="005F7350"/>
    <w:rsid w:val="006018A2"/>
    <w:rsid w:val="00606B19"/>
    <w:rsid w:val="00611C51"/>
    <w:rsid w:val="00615B47"/>
    <w:rsid w:val="0061727A"/>
    <w:rsid w:val="006174B3"/>
    <w:rsid w:val="00621848"/>
    <w:rsid w:val="00624CF9"/>
    <w:rsid w:val="00625DA8"/>
    <w:rsid w:val="00627B03"/>
    <w:rsid w:val="0063399C"/>
    <w:rsid w:val="00634676"/>
    <w:rsid w:val="00634EA1"/>
    <w:rsid w:val="00634F87"/>
    <w:rsid w:val="00635159"/>
    <w:rsid w:val="00636219"/>
    <w:rsid w:val="00637659"/>
    <w:rsid w:val="006376D0"/>
    <w:rsid w:val="00640339"/>
    <w:rsid w:val="00640928"/>
    <w:rsid w:val="00640C1E"/>
    <w:rsid w:val="00645D8D"/>
    <w:rsid w:val="006515B1"/>
    <w:rsid w:val="0065334A"/>
    <w:rsid w:val="00655ABC"/>
    <w:rsid w:val="0065657B"/>
    <w:rsid w:val="0066079F"/>
    <w:rsid w:val="00663B4D"/>
    <w:rsid w:val="0066406E"/>
    <w:rsid w:val="00671B2F"/>
    <w:rsid w:val="0067286D"/>
    <w:rsid w:val="00673903"/>
    <w:rsid w:val="0067428F"/>
    <w:rsid w:val="00674FAD"/>
    <w:rsid w:val="00675FF2"/>
    <w:rsid w:val="00676EC3"/>
    <w:rsid w:val="00680EF7"/>
    <w:rsid w:val="0068105A"/>
    <w:rsid w:val="00682988"/>
    <w:rsid w:val="006858FF"/>
    <w:rsid w:val="00685B63"/>
    <w:rsid w:val="00692342"/>
    <w:rsid w:val="00695E08"/>
    <w:rsid w:val="00697762"/>
    <w:rsid w:val="006A05FA"/>
    <w:rsid w:val="006A0766"/>
    <w:rsid w:val="006A200A"/>
    <w:rsid w:val="006A2670"/>
    <w:rsid w:val="006A32B5"/>
    <w:rsid w:val="006A3327"/>
    <w:rsid w:val="006A5025"/>
    <w:rsid w:val="006A51BA"/>
    <w:rsid w:val="006A703E"/>
    <w:rsid w:val="006B010F"/>
    <w:rsid w:val="006B5292"/>
    <w:rsid w:val="006B5F87"/>
    <w:rsid w:val="006B736D"/>
    <w:rsid w:val="006B7EFC"/>
    <w:rsid w:val="006C01B3"/>
    <w:rsid w:val="006C21B9"/>
    <w:rsid w:val="006C4DB9"/>
    <w:rsid w:val="006C5ADE"/>
    <w:rsid w:val="006C5EAB"/>
    <w:rsid w:val="006C7003"/>
    <w:rsid w:val="006D2643"/>
    <w:rsid w:val="006D3A2D"/>
    <w:rsid w:val="006E108E"/>
    <w:rsid w:val="006E132E"/>
    <w:rsid w:val="006E33C6"/>
    <w:rsid w:val="006E33E9"/>
    <w:rsid w:val="006E6BD6"/>
    <w:rsid w:val="006E6C18"/>
    <w:rsid w:val="006F0F57"/>
    <w:rsid w:val="006F3240"/>
    <w:rsid w:val="006F3A13"/>
    <w:rsid w:val="006F4783"/>
    <w:rsid w:val="006F6F78"/>
    <w:rsid w:val="0070086A"/>
    <w:rsid w:val="00702812"/>
    <w:rsid w:val="007036C3"/>
    <w:rsid w:val="00705C66"/>
    <w:rsid w:val="00707904"/>
    <w:rsid w:val="0071012B"/>
    <w:rsid w:val="00711B3D"/>
    <w:rsid w:val="0071249D"/>
    <w:rsid w:val="00713D15"/>
    <w:rsid w:val="007152F3"/>
    <w:rsid w:val="00715780"/>
    <w:rsid w:val="00720858"/>
    <w:rsid w:val="00720EEC"/>
    <w:rsid w:val="007219A1"/>
    <w:rsid w:val="007238F7"/>
    <w:rsid w:val="0072413C"/>
    <w:rsid w:val="007309C3"/>
    <w:rsid w:val="00731FF5"/>
    <w:rsid w:val="007328D7"/>
    <w:rsid w:val="00732C02"/>
    <w:rsid w:val="00733DB0"/>
    <w:rsid w:val="00733F8F"/>
    <w:rsid w:val="00735250"/>
    <w:rsid w:val="00735B3F"/>
    <w:rsid w:val="0073689D"/>
    <w:rsid w:val="0074173C"/>
    <w:rsid w:val="0074269E"/>
    <w:rsid w:val="007440D0"/>
    <w:rsid w:val="00744AB3"/>
    <w:rsid w:val="0074626D"/>
    <w:rsid w:val="00750E39"/>
    <w:rsid w:val="00750ECA"/>
    <w:rsid w:val="0075261E"/>
    <w:rsid w:val="00754925"/>
    <w:rsid w:val="00755AD2"/>
    <w:rsid w:val="00755D87"/>
    <w:rsid w:val="00757908"/>
    <w:rsid w:val="00757A35"/>
    <w:rsid w:val="0076186D"/>
    <w:rsid w:val="0076348F"/>
    <w:rsid w:val="00763CFB"/>
    <w:rsid w:val="00764817"/>
    <w:rsid w:val="0076635D"/>
    <w:rsid w:val="00766EF3"/>
    <w:rsid w:val="00767D79"/>
    <w:rsid w:val="007739F3"/>
    <w:rsid w:val="007758F7"/>
    <w:rsid w:val="007828E1"/>
    <w:rsid w:val="00784049"/>
    <w:rsid w:val="00784660"/>
    <w:rsid w:val="00785A06"/>
    <w:rsid w:val="007860D6"/>
    <w:rsid w:val="00787B3E"/>
    <w:rsid w:val="00793085"/>
    <w:rsid w:val="007A0D9F"/>
    <w:rsid w:val="007A72C1"/>
    <w:rsid w:val="007A78D8"/>
    <w:rsid w:val="007B3513"/>
    <w:rsid w:val="007B38DB"/>
    <w:rsid w:val="007B55EF"/>
    <w:rsid w:val="007B7366"/>
    <w:rsid w:val="007C0898"/>
    <w:rsid w:val="007C25A7"/>
    <w:rsid w:val="007C298F"/>
    <w:rsid w:val="007C4AD1"/>
    <w:rsid w:val="007C4ADA"/>
    <w:rsid w:val="007C7656"/>
    <w:rsid w:val="007D009D"/>
    <w:rsid w:val="007D279D"/>
    <w:rsid w:val="007D5225"/>
    <w:rsid w:val="007D5E97"/>
    <w:rsid w:val="007D7BD1"/>
    <w:rsid w:val="007E4B23"/>
    <w:rsid w:val="007E5DD7"/>
    <w:rsid w:val="007F31EC"/>
    <w:rsid w:val="007F36B9"/>
    <w:rsid w:val="007F5357"/>
    <w:rsid w:val="007F6AAE"/>
    <w:rsid w:val="00800B17"/>
    <w:rsid w:val="00804698"/>
    <w:rsid w:val="00804F9D"/>
    <w:rsid w:val="0080518C"/>
    <w:rsid w:val="00805F6D"/>
    <w:rsid w:val="008063EF"/>
    <w:rsid w:val="00806890"/>
    <w:rsid w:val="00811487"/>
    <w:rsid w:val="008119A0"/>
    <w:rsid w:val="0081268D"/>
    <w:rsid w:val="008131E5"/>
    <w:rsid w:val="00813B78"/>
    <w:rsid w:val="00814262"/>
    <w:rsid w:val="00817379"/>
    <w:rsid w:val="008177D5"/>
    <w:rsid w:val="00822835"/>
    <w:rsid w:val="00823D9E"/>
    <w:rsid w:val="008248C7"/>
    <w:rsid w:val="00831175"/>
    <w:rsid w:val="00833248"/>
    <w:rsid w:val="008349AC"/>
    <w:rsid w:val="00842442"/>
    <w:rsid w:val="00843698"/>
    <w:rsid w:val="008451EA"/>
    <w:rsid w:val="008479F7"/>
    <w:rsid w:val="008504E3"/>
    <w:rsid w:val="00850692"/>
    <w:rsid w:val="00852271"/>
    <w:rsid w:val="008540CD"/>
    <w:rsid w:val="0085548A"/>
    <w:rsid w:val="00855B63"/>
    <w:rsid w:val="00855DA7"/>
    <w:rsid w:val="00860A99"/>
    <w:rsid w:val="00864E59"/>
    <w:rsid w:val="0086553B"/>
    <w:rsid w:val="0087003A"/>
    <w:rsid w:val="00873035"/>
    <w:rsid w:val="00873317"/>
    <w:rsid w:val="008733F4"/>
    <w:rsid w:val="00876C81"/>
    <w:rsid w:val="00877E1E"/>
    <w:rsid w:val="008818ED"/>
    <w:rsid w:val="00882C1D"/>
    <w:rsid w:val="008834A6"/>
    <w:rsid w:val="008847B4"/>
    <w:rsid w:val="00884861"/>
    <w:rsid w:val="008849A8"/>
    <w:rsid w:val="008871CA"/>
    <w:rsid w:val="008917AE"/>
    <w:rsid w:val="0089249B"/>
    <w:rsid w:val="00893DB2"/>
    <w:rsid w:val="008A3A86"/>
    <w:rsid w:val="008A45AB"/>
    <w:rsid w:val="008A5D92"/>
    <w:rsid w:val="008A6224"/>
    <w:rsid w:val="008B0170"/>
    <w:rsid w:val="008B4741"/>
    <w:rsid w:val="008B597C"/>
    <w:rsid w:val="008C2328"/>
    <w:rsid w:val="008C25B2"/>
    <w:rsid w:val="008C36A6"/>
    <w:rsid w:val="008C3E7C"/>
    <w:rsid w:val="008C4226"/>
    <w:rsid w:val="008C4688"/>
    <w:rsid w:val="008C6992"/>
    <w:rsid w:val="008C7CB2"/>
    <w:rsid w:val="008D19F8"/>
    <w:rsid w:val="008D508C"/>
    <w:rsid w:val="008D76CC"/>
    <w:rsid w:val="008D79CA"/>
    <w:rsid w:val="008E05EC"/>
    <w:rsid w:val="008E14C2"/>
    <w:rsid w:val="008E3966"/>
    <w:rsid w:val="008E4A47"/>
    <w:rsid w:val="008E6A69"/>
    <w:rsid w:val="008E7AA4"/>
    <w:rsid w:val="008E7CD8"/>
    <w:rsid w:val="008F0478"/>
    <w:rsid w:val="008F2470"/>
    <w:rsid w:val="008F4615"/>
    <w:rsid w:val="008F57CF"/>
    <w:rsid w:val="008F7571"/>
    <w:rsid w:val="00900B4E"/>
    <w:rsid w:val="00901C4F"/>
    <w:rsid w:val="00902D55"/>
    <w:rsid w:val="00906019"/>
    <w:rsid w:val="00906F02"/>
    <w:rsid w:val="00910487"/>
    <w:rsid w:val="00910B12"/>
    <w:rsid w:val="00913FC8"/>
    <w:rsid w:val="00914A58"/>
    <w:rsid w:val="00914FE4"/>
    <w:rsid w:val="009167BE"/>
    <w:rsid w:val="009216EF"/>
    <w:rsid w:val="00921FD8"/>
    <w:rsid w:val="0092288A"/>
    <w:rsid w:val="0092411F"/>
    <w:rsid w:val="00924933"/>
    <w:rsid w:val="0092536F"/>
    <w:rsid w:val="00925FD2"/>
    <w:rsid w:val="00926953"/>
    <w:rsid w:val="009325BD"/>
    <w:rsid w:val="00934198"/>
    <w:rsid w:val="00940884"/>
    <w:rsid w:val="0094181C"/>
    <w:rsid w:val="00942C6A"/>
    <w:rsid w:val="00943171"/>
    <w:rsid w:val="00943E2D"/>
    <w:rsid w:val="009442C3"/>
    <w:rsid w:val="009443C5"/>
    <w:rsid w:val="009534FD"/>
    <w:rsid w:val="00955946"/>
    <w:rsid w:val="0095785F"/>
    <w:rsid w:val="00957E58"/>
    <w:rsid w:val="00962714"/>
    <w:rsid w:val="00966719"/>
    <w:rsid w:val="00970775"/>
    <w:rsid w:val="00971C54"/>
    <w:rsid w:val="00976368"/>
    <w:rsid w:val="009814E7"/>
    <w:rsid w:val="00981533"/>
    <w:rsid w:val="0098368D"/>
    <w:rsid w:val="0098534F"/>
    <w:rsid w:val="00986AD3"/>
    <w:rsid w:val="0099152E"/>
    <w:rsid w:val="00992392"/>
    <w:rsid w:val="00993B3E"/>
    <w:rsid w:val="00996478"/>
    <w:rsid w:val="009A13BC"/>
    <w:rsid w:val="009A2434"/>
    <w:rsid w:val="009A3B9C"/>
    <w:rsid w:val="009A3FA4"/>
    <w:rsid w:val="009A4E20"/>
    <w:rsid w:val="009A524E"/>
    <w:rsid w:val="009A5556"/>
    <w:rsid w:val="009A6018"/>
    <w:rsid w:val="009A7457"/>
    <w:rsid w:val="009A7E01"/>
    <w:rsid w:val="009B405E"/>
    <w:rsid w:val="009B5289"/>
    <w:rsid w:val="009B5944"/>
    <w:rsid w:val="009B6D03"/>
    <w:rsid w:val="009C1172"/>
    <w:rsid w:val="009C3FC6"/>
    <w:rsid w:val="009C6D33"/>
    <w:rsid w:val="009C72C5"/>
    <w:rsid w:val="009C7598"/>
    <w:rsid w:val="009D023C"/>
    <w:rsid w:val="009D1423"/>
    <w:rsid w:val="009D1F45"/>
    <w:rsid w:val="009D57D6"/>
    <w:rsid w:val="009E223E"/>
    <w:rsid w:val="009E331D"/>
    <w:rsid w:val="009E481C"/>
    <w:rsid w:val="009E546A"/>
    <w:rsid w:val="009F1E3F"/>
    <w:rsid w:val="009F3238"/>
    <w:rsid w:val="009F3D8E"/>
    <w:rsid w:val="009F562B"/>
    <w:rsid w:val="009F7B93"/>
    <w:rsid w:val="00A027DD"/>
    <w:rsid w:val="00A057BF"/>
    <w:rsid w:val="00A11B22"/>
    <w:rsid w:val="00A13810"/>
    <w:rsid w:val="00A159C5"/>
    <w:rsid w:val="00A216EC"/>
    <w:rsid w:val="00A2205C"/>
    <w:rsid w:val="00A23C4B"/>
    <w:rsid w:val="00A2650F"/>
    <w:rsid w:val="00A272CA"/>
    <w:rsid w:val="00A31464"/>
    <w:rsid w:val="00A33CB7"/>
    <w:rsid w:val="00A34C80"/>
    <w:rsid w:val="00A413B8"/>
    <w:rsid w:val="00A415F8"/>
    <w:rsid w:val="00A4278C"/>
    <w:rsid w:val="00A444A2"/>
    <w:rsid w:val="00A4583D"/>
    <w:rsid w:val="00A4738E"/>
    <w:rsid w:val="00A50104"/>
    <w:rsid w:val="00A502CD"/>
    <w:rsid w:val="00A509BA"/>
    <w:rsid w:val="00A53FCA"/>
    <w:rsid w:val="00A54498"/>
    <w:rsid w:val="00A57BEB"/>
    <w:rsid w:val="00A62144"/>
    <w:rsid w:val="00A62A69"/>
    <w:rsid w:val="00A70C36"/>
    <w:rsid w:val="00A71EA2"/>
    <w:rsid w:val="00A726F4"/>
    <w:rsid w:val="00A73CEB"/>
    <w:rsid w:val="00A7581C"/>
    <w:rsid w:val="00A768A7"/>
    <w:rsid w:val="00A76E72"/>
    <w:rsid w:val="00A76FED"/>
    <w:rsid w:val="00A80777"/>
    <w:rsid w:val="00A82B14"/>
    <w:rsid w:val="00A844AD"/>
    <w:rsid w:val="00A84705"/>
    <w:rsid w:val="00A8483D"/>
    <w:rsid w:val="00A85251"/>
    <w:rsid w:val="00A85BFE"/>
    <w:rsid w:val="00A85E1A"/>
    <w:rsid w:val="00A87EB1"/>
    <w:rsid w:val="00A90400"/>
    <w:rsid w:val="00A90A96"/>
    <w:rsid w:val="00A90AE8"/>
    <w:rsid w:val="00A9425E"/>
    <w:rsid w:val="00A97F68"/>
    <w:rsid w:val="00AA0A9B"/>
    <w:rsid w:val="00AA16D5"/>
    <w:rsid w:val="00AA2D94"/>
    <w:rsid w:val="00AA4D95"/>
    <w:rsid w:val="00AA6E51"/>
    <w:rsid w:val="00AB0F0A"/>
    <w:rsid w:val="00AB2D2C"/>
    <w:rsid w:val="00AB3999"/>
    <w:rsid w:val="00AB44E0"/>
    <w:rsid w:val="00AB574D"/>
    <w:rsid w:val="00AB6BD6"/>
    <w:rsid w:val="00AB6ED1"/>
    <w:rsid w:val="00AB794E"/>
    <w:rsid w:val="00AB7EE4"/>
    <w:rsid w:val="00AC0B7B"/>
    <w:rsid w:val="00AC1777"/>
    <w:rsid w:val="00AC2406"/>
    <w:rsid w:val="00AC788E"/>
    <w:rsid w:val="00AD1769"/>
    <w:rsid w:val="00AD1BE2"/>
    <w:rsid w:val="00AD319A"/>
    <w:rsid w:val="00AD4929"/>
    <w:rsid w:val="00AD5413"/>
    <w:rsid w:val="00AD634A"/>
    <w:rsid w:val="00AD72A4"/>
    <w:rsid w:val="00AE291A"/>
    <w:rsid w:val="00AE4D68"/>
    <w:rsid w:val="00AE5F7A"/>
    <w:rsid w:val="00AF0BCC"/>
    <w:rsid w:val="00AF1347"/>
    <w:rsid w:val="00B02A07"/>
    <w:rsid w:val="00B03C3C"/>
    <w:rsid w:val="00B03E55"/>
    <w:rsid w:val="00B05B9E"/>
    <w:rsid w:val="00B05DCC"/>
    <w:rsid w:val="00B06F9C"/>
    <w:rsid w:val="00B0732B"/>
    <w:rsid w:val="00B07599"/>
    <w:rsid w:val="00B10E08"/>
    <w:rsid w:val="00B154D1"/>
    <w:rsid w:val="00B16AD1"/>
    <w:rsid w:val="00B203B1"/>
    <w:rsid w:val="00B21149"/>
    <w:rsid w:val="00B23373"/>
    <w:rsid w:val="00B23865"/>
    <w:rsid w:val="00B304AC"/>
    <w:rsid w:val="00B346B4"/>
    <w:rsid w:val="00B449FA"/>
    <w:rsid w:val="00B44C87"/>
    <w:rsid w:val="00B521D2"/>
    <w:rsid w:val="00B522D8"/>
    <w:rsid w:val="00B5252E"/>
    <w:rsid w:val="00B52B29"/>
    <w:rsid w:val="00B60299"/>
    <w:rsid w:val="00B60AF2"/>
    <w:rsid w:val="00B60C5F"/>
    <w:rsid w:val="00B62BEA"/>
    <w:rsid w:val="00B65B7B"/>
    <w:rsid w:val="00B705F5"/>
    <w:rsid w:val="00B71004"/>
    <w:rsid w:val="00B710A9"/>
    <w:rsid w:val="00B7325C"/>
    <w:rsid w:val="00B74635"/>
    <w:rsid w:val="00B75DC5"/>
    <w:rsid w:val="00B7739E"/>
    <w:rsid w:val="00B862B7"/>
    <w:rsid w:val="00B86BA7"/>
    <w:rsid w:val="00B90452"/>
    <w:rsid w:val="00B906C7"/>
    <w:rsid w:val="00B914BF"/>
    <w:rsid w:val="00B93607"/>
    <w:rsid w:val="00B9460E"/>
    <w:rsid w:val="00B94D14"/>
    <w:rsid w:val="00B95A62"/>
    <w:rsid w:val="00B95D89"/>
    <w:rsid w:val="00B96EB1"/>
    <w:rsid w:val="00B97E3F"/>
    <w:rsid w:val="00BA4E7D"/>
    <w:rsid w:val="00BA54C5"/>
    <w:rsid w:val="00BA76D6"/>
    <w:rsid w:val="00BB1545"/>
    <w:rsid w:val="00BB4B5A"/>
    <w:rsid w:val="00BB4DB9"/>
    <w:rsid w:val="00BB5B54"/>
    <w:rsid w:val="00BB6D55"/>
    <w:rsid w:val="00BC0C82"/>
    <w:rsid w:val="00BC5371"/>
    <w:rsid w:val="00BC5FBB"/>
    <w:rsid w:val="00BC65FB"/>
    <w:rsid w:val="00BC76E2"/>
    <w:rsid w:val="00BD581E"/>
    <w:rsid w:val="00BE077D"/>
    <w:rsid w:val="00BE187D"/>
    <w:rsid w:val="00BE3560"/>
    <w:rsid w:val="00BE40C2"/>
    <w:rsid w:val="00BE484B"/>
    <w:rsid w:val="00BE585E"/>
    <w:rsid w:val="00BE6563"/>
    <w:rsid w:val="00BE76E9"/>
    <w:rsid w:val="00BE7C59"/>
    <w:rsid w:val="00BF05EA"/>
    <w:rsid w:val="00BF17BF"/>
    <w:rsid w:val="00BF293E"/>
    <w:rsid w:val="00BF319C"/>
    <w:rsid w:val="00BF3592"/>
    <w:rsid w:val="00BF412B"/>
    <w:rsid w:val="00BF6433"/>
    <w:rsid w:val="00BF7E68"/>
    <w:rsid w:val="00C022C1"/>
    <w:rsid w:val="00C04FDE"/>
    <w:rsid w:val="00C105C4"/>
    <w:rsid w:val="00C11BC4"/>
    <w:rsid w:val="00C140B0"/>
    <w:rsid w:val="00C15B68"/>
    <w:rsid w:val="00C160C1"/>
    <w:rsid w:val="00C16F14"/>
    <w:rsid w:val="00C21916"/>
    <w:rsid w:val="00C2558C"/>
    <w:rsid w:val="00C267F6"/>
    <w:rsid w:val="00C314EB"/>
    <w:rsid w:val="00C31FCD"/>
    <w:rsid w:val="00C40457"/>
    <w:rsid w:val="00C41FC5"/>
    <w:rsid w:val="00C44DC7"/>
    <w:rsid w:val="00C458C5"/>
    <w:rsid w:val="00C45B0D"/>
    <w:rsid w:val="00C463E5"/>
    <w:rsid w:val="00C4655D"/>
    <w:rsid w:val="00C5023E"/>
    <w:rsid w:val="00C50AE1"/>
    <w:rsid w:val="00C52107"/>
    <w:rsid w:val="00C52BB8"/>
    <w:rsid w:val="00C53AB9"/>
    <w:rsid w:val="00C53B61"/>
    <w:rsid w:val="00C57DF9"/>
    <w:rsid w:val="00C57DFC"/>
    <w:rsid w:val="00C643E6"/>
    <w:rsid w:val="00C648B7"/>
    <w:rsid w:val="00C71F98"/>
    <w:rsid w:val="00C73111"/>
    <w:rsid w:val="00C73E71"/>
    <w:rsid w:val="00C74DF9"/>
    <w:rsid w:val="00C76B55"/>
    <w:rsid w:val="00C80E22"/>
    <w:rsid w:val="00C81C35"/>
    <w:rsid w:val="00C82505"/>
    <w:rsid w:val="00C853EE"/>
    <w:rsid w:val="00C9268E"/>
    <w:rsid w:val="00C92B87"/>
    <w:rsid w:val="00C937D5"/>
    <w:rsid w:val="00C94BD2"/>
    <w:rsid w:val="00C97678"/>
    <w:rsid w:val="00CA0A97"/>
    <w:rsid w:val="00CA259F"/>
    <w:rsid w:val="00CA75E0"/>
    <w:rsid w:val="00CB0935"/>
    <w:rsid w:val="00CB0DD3"/>
    <w:rsid w:val="00CB315F"/>
    <w:rsid w:val="00CB35F6"/>
    <w:rsid w:val="00CC05E0"/>
    <w:rsid w:val="00CC0615"/>
    <w:rsid w:val="00CC2BE8"/>
    <w:rsid w:val="00CC4226"/>
    <w:rsid w:val="00CC712E"/>
    <w:rsid w:val="00CC75FD"/>
    <w:rsid w:val="00CD000A"/>
    <w:rsid w:val="00CD0FB9"/>
    <w:rsid w:val="00CE14E0"/>
    <w:rsid w:val="00CE35AC"/>
    <w:rsid w:val="00CE532E"/>
    <w:rsid w:val="00CE5C18"/>
    <w:rsid w:val="00CE62C7"/>
    <w:rsid w:val="00CE67E5"/>
    <w:rsid w:val="00CE79EC"/>
    <w:rsid w:val="00CF2CD8"/>
    <w:rsid w:val="00CF3EEA"/>
    <w:rsid w:val="00CF6EC8"/>
    <w:rsid w:val="00D03CA5"/>
    <w:rsid w:val="00D03E8D"/>
    <w:rsid w:val="00D03F3B"/>
    <w:rsid w:val="00D05DF4"/>
    <w:rsid w:val="00D06C9D"/>
    <w:rsid w:val="00D154C2"/>
    <w:rsid w:val="00D165DE"/>
    <w:rsid w:val="00D20166"/>
    <w:rsid w:val="00D20EA5"/>
    <w:rsid w:val="00D21128"/>
    <w:rsid w:val="00D22E27"/>
    <w:rsid w:val="00D26CC0"/>
    <w:rsid w:val="00D271C6"/>
    <w:rsid w:val="00D3059D"/>
    <w:rsid w:val="00D31A26"/>
    <w:rsid w:val="00D31A69"/>
    <w:rsid w:val="00D351E8"/>
    <w:rsid w:val="00D405FC"/>
    <w:rsid w:val="00D455C5"/>
    <w:rsid w:val="00D47176"/>
    <w:rsid w:val="00D478F2"/>
    <w:rsid w:val="00D51157"/>
    <w:rsid w:val="00D52190"/>
    <w:rsid w:val="00D56285"/>
    <w:rsid w:val="00D57284"/>
    <w:rsid w:val="00D579CD"/>
    <w:rsid w:val="00D57A6F"/>
    <w:rsid w:val="00D60287"/>
    <w:rsid w:val="00D608B9"/>
    <w:rsid w:val="00D6182F"/>
    <w:rsid w:val="00D63236"/>
    <w:rsid w:val="00D633C6"/>
    <w:rsid w:val="00D66147"/>
    <w:rsid w:val="00D70132"/>
    <w:rsid w:val="00D70799"/>
    <w:rsid w:val="00D71443"/>
    <w:rsid w:val="00D7253E"/>
    <w:rsid w:val="00D82B28"/>
    <w:rsid w:val="00D866B9"/>
    <w:rsid w:val="00D86863"/>
    <w:rsid w:val="00D938D0"/>
    <w:rsid w:val="00D947A0"/>
    <w:rsid w:val="00D95B13"/>
    <w:rsid w:val="00D96403"/>
    <w:rsid w:val="00D97E2A"/>
    <w:rsid w:val="00DA02FB"/>
    <w:rsid w:val="00DB02EB"/>
    <w:rsid w:val="00DB51EE"/>
    <w:rsid w:val="00DB5FF7"/>
    <w:rsid w:val="00DC08E6"/>
    <w:rsid w:val="00DC2107"/>
    <w:rsid w:val="00DC761F"/>
    <w:rsid w:val="00DD0716"/>
    <w:rsid w:val="00DD0FCF"/>
    <w:rsid w:val="00DD1C11"/>
    <w:rsid w:val="00DD51EE"/>
    <w:rsid w:val="00DE0578"/>
    <w:rsid w:val="00DE1519"/>
    <w:rsid w:val="00DE295E"/>
    <w:rsid w:val="00DF0512"/>
    <w:rsid w:val="00DF0BEF"/>
    <w:rsid w:val="00DF170B"/>
    <w:rsid w:val="00DF181A"/>
    <w:rsid w:val="00DF3F64"/>
    <w:rsid w:val="00DF46C0"/>
    <w:rsid w:val="00DF7894"/>
    <w:rsid w:val="00E0019D"/>
    <w:rsid w:val="00E00392"/>
    <w:rsid w:val="00E01A29"/>
    <w:rsid w:val="00E01DD0"/>
    <w:rsid w:val="00E048F1"/>
    <w:rsid w:val="00E04EAA"/>
    <w:rsid w:val="00E11BEC"/>
    <w:rsid w:val="00E142F2"/>
    <w:rsid w:val="00E14F41"/>
    <w:rsid w:val="00E20838"/>
    <w:rsid w:val="00E20A12"/>
    <w:rsid w:val="00E23037"/>
    <w:rsid w:val="00E247F1"/>
    <w:rsid w:val="00E2710E"/>
    <w:rsid w:val="00E27BB8"/>
    <w:rsid w:val="00E31427"/>
    <w:rsid w:val="00E35CD8"/>
    <w:rsid w:val="00E41B33"/>
    <w:rsid w:val="00E42136"/>
    <w:rsid w:val="00E43BC0"/>
    <w:rsid w:val="00E45494"/>
    <w:rsid w:val="00E45EF2"/>
    <w:rsid w:val="00E46AAA"/>
    <w:rsid w:val="00E5267A"/>
    <w:rsid w:val="00E52817"/>
    <w:rsid w:val="00E534E4"/>
    <w:rsid w:val="00E55245"/>
    <w:rsid w:val="00E56242"/>
    <w:rsid w:val="00E56685"/>
    <w:rsid w:val="00E62DCC"/>
    <w:rsid w:val="00E64187"/>
    <w:rsid w:val="00E649B1"/>
    <w:rsid w:val="00E678AF"/>
    <w:rsid w:val="00E731CA"/>
    <w:rsid w:val="00E7540B"/>
    <w:rsid w:val="00E7560A"/>
    <w:rsid w:val="00E800C1"/>
    <w:rsid w:val="00E80182"/>
    <w:rsid w:val="00E812D6"/>
    <w:rsid w:val="00E81A0F"/>
    <w:rsid w:val="00E82299"/>
    <w:rsid w:val="00E840DB"/>
    <w:rsid w:val="00E86104"/>
    <w:rsid w:val="00E86D25"/>
    <w:rsid w:val="00E9099B"/>
    <w:rsid w:val="00E90B23"/>
    <w:rsid w:val="00E942C4"/>
    <w:rsid w:val="00E94D42"/>
    <w:rsid w:val="00E97A3F"/>
    <w:rsid w:val="00EA1563"/>
    <w:rsid w:val="00EA5370"/>
    <w:rsid w:val="00EA7073"/>
    <w:rsid w:val="00EA75D1"/>
    <w:rsid w:val="00EA76F1"/>
    <w:rsid w:val="00EA7EF4"/>
    <w:rsid w:val="00EB1C2A"/>
    <w:rsid w:val="00EB6010"/>
    <w:rsid w:val="00EB624F"/>
    <w:rsid w:val="00EB644E"/>
    <w:rsid w:val="00EB6924"/>
    <w:rsid w:val="00EB6A92"/>
    <w:rsid w:val="00EC21CE"/>
    <w:rsid w:val="00ED2259"/>
    <w:rsid w:val="00ED2BD9"/>
    <w:rsid w:val="00ED5E47"/>
    <w:rsid w:val="00EE0261"/>
    <w:rsid w:val="00EE1554"/>
    <w:rsid w:val="00EE2A10"/>
    <w:rsid w:val="00EE467E"/>
    <w:rsid w:val="00EE5C69"/>
    <w:rsid w:val="00EE6FB4"/>
    <w:rsid w:val="00EF0CAF"/>
    <w:rsid w:val="00EF4030"/>
    <w:rsid w:val="00EF53DC"/>
    <w:rsid w:val="00F00265"/>
    <w:rsid w:val="00F03263"/>
    <w:rsid w:val="00F05C40"/>
    <w:rsid w:val="00F07644"/>
    <w:rsid w:val="00F07B0C"/>
    <w:rsid w:val="00F10192"/>
    <w:rsid w:val="00F113E6"/>
    <w:rsid w:val="00F12F60"/>
    <w:rsid w:val="00F1314D"/>
    <w:rsid w:val="00F132E9"/>
    <w:rsid w:val="00F15EAA"/>
    <w:rsid w:val="00F160A9"/>
    <w:rsid w:val="00F17B0D"/>
    <w:rsid w:val="00F20406"/>
    <w:rsid w:val="00F20958"/>
    <w:rsid w:val="00F223A2"/>
    <w:rsid w:val="00F24A9C"/>
    <w:rsid w:val="00F24B2E"/>
    <w:rsid w:val="00F26013"/>
    <w:rsid w:val="00F304A1"/>
    <w:rsid w:val="00F3050E"/>
    <w:rsid w:val="00F3571F"/>
    <w:rsid w:val="00F44BED"/>
    <w:rsid w:val="00F462B5"/>
    <w:rsid w:val="00F466E1"/>
    <w:rsid w:val="00F50515"/>
    <w:rsid w:val="00F51121"/>
    <w:rsid w:val="00F518B6"/>
    <w:rsid w:val="00F53000"/>
    <w:rsid w:val="00F533B6"/>
    <w:rsid w:val="00F575B2"/>
    <w:rsid w:val="00F62494"/>
    <w:rsid w:val="00F634DB"/>
    <w:rsid w:val="00F63BF3"/>
    <w:rsid w:val="00F65190"/>
    <w:rsid w:val="00F65E3D"/>
    <w:rsid w:val="00F66D0C"/>
    <w:rsid w:val="00F67385"/>
    <w:rsid w:val="00F71898"/>
    <w:rsid w:val="00F74148"/>
    <w:rsid w:val="00F75323"/>
    <w:rsid w:val="00F76BAD"/>
    <w:rsid w:val="00F8115F"/>
    <w:rsid w:val="00F847E7"/>
    <w:rsid w:val="00F8492F"/>
    <w:rsid w:val="00F851DC"/>
    <w:rsid w:val="00F90108"/>
    <w:rsid w:val="00F902C2"/>
    <w:rsid w:val="00F91A8C"/>
    <w:rsid w:val="00F93916"/>
    <w:rsid w:val="00F93C6F"/>
    <w:rsid w:val="00F95AEC"/>
    <w:rsid w:val="00FA2464"/>
    <w:rsid w:val="00FA3F2E"/>
    <w:rsid w:val="00FA5A11"/>
    <w:rsid w:val="00FA73DB"/>
    <w:rsid w:val="00FB747D"/>
    <w:rsid w:val="00FC1861"/>
    <w:rsid w:val="00FC5C79"/>
    <w:rsid w:val="00FC5D35"/>
    <w:rsid w:val="00FC61E9"/>
    <w:rsid w:val="00FC6FFE"/>
    <w:rsid w:val="00FD3446"/>
    <w:rsid w:val="00FD4885"/>
    <w:rsid w:val="00FD48AE"/>
    <w:rsid w:val="00FD4B0C"/>
    <w:rsid w:val="00FD63B9"/>
    <w:rsid w:val="00FD7EE1"/>
    <w:rsid w:val="00FE1836"/>
    <w:rsid w:val="00FE29B6"/>
    <w:rsid w:val="00FE2E98"/>
    <w:rsid w:val="00FE5D8A"/>
    <w:rsid w:val="00FE7FCA"/>
    <w:rsid w:val="00FF0BA2"/>
    <w:rsid w:val="00FF3328"/>
    <w:rsid w:val="00FF35A1"/>
    <w:rsid w:val="00FF3EF3"/>
    <w:rsid w:val="00FF50C7"/>
    <w:rsid w:val="00FF5407"/>
    <w:rsid w:val="00FF7EBC"/>
    <w:rsid w:val="045F3EF4"/>
    <w:rsid w:val="0F0F309D"/>
    <w:rsid w:val="5C805010"/>
    <w:rsid w:val="745E2BD8"/>
    <w:rsid w:val="7D8F547A"/>
    <w:rsid w:val="7FAA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3"/>
    <w:link w:val="38"/>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4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3">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0"/>
    <w:pPr>
      <w:ind w:firstLine="420" w:firstLineChars="200"/>
    </w:pPr>
  </w:style>
  <w:style w:type="paragraph" w:styleId="7">
    <w:name w:val="index 5"/>
    <w:basedOn w:val="1"/>
    <w:next w:val="1"/>
    <w:qFormat/>
    <w:uiPriority w:val="0"/>
    <w:pPr>
      <w:ind w:left="1680"/>
    </w:pPr>
    <w:rPr>
      <w:rFonts w:asciiTheme="minorHAnsi" w:hAnsiTheme="minorHAnsi" w:eastAsiaTheme="minorEastAsia" w:cstheme="minorBidi"/>
      <w:szCs w:val="22"/>
    </w:rPr>
  </w:style>
  <w:style w:type="paragraph" w:styleId="8">
    <w:name w:val="annotation text"/>
    <w:basedOn w:val="1"/>
    <w:link w:val="45"/>
    <w:qFormat/>
    <w:uiPriority w:val="0"/>
    <w:pPr>
      <w:jc w:val="left"/>
    </w:pPr>
    <w:rPr>
      <w:rFonts w:asciiTheme="minorHAnsi" w:hAnsiTheme="minorHAnsi" w:eastAsiaTheme="minorEastAsia" w:cstheme="minorBidi"/>
    </w:rPr>
  </w:style>
  <w:style w:type="paragraph" w:styleId="9">
    <w:name w:val="Body Text"/>
    <w:basedOn w:val="1"/>
    <w:link w:val="43"/>
    <w:qFormat/>
    <w:uiPriority w:val="1"/>
    <w:pPr>
      <w:ind w:left="118"/>
    </w:pPr>
    <w:rPr>
      <w:rFonts w:ascii="宋体" w:hAnsi="宋体" w:cstheme="minorBidi"/>
      <w:sz w:val="28"/>
      <w:szCs w:val="28"/>
    </w:rPr>
  </w:style>
  <w:style w:type="paragraph" w:styleId="10">
    <w:name w:val="Body Text Indent"/>
    <w:basedOn w:val="1"/>
    <w:link w:val="66"/>
    <w:qFormat/>
    <w:uiPriority w:val="0"/>
    <w:pPr>
      <w:spacing w:after="120"/>
      <w:ind w:left="420" w:leftChars="200"/>
    </w:pPr>
  </w:style>
  <w:style w:type="paragraph" w:styleId="11">
    <w:name w:val="toc 3"/>
    <w:basedOn w:val="1"/>
    <w:next w:val="1"/>
    <w:qFormat/>
    <w:uiPriority w:val="0"/>
    <w:pPr>
      <w:ind w:left="840" w:leftChars="400"/>
    </w:pPr>
    <w:rPr>
      <w:rFonts w:asciiTheme="minorHAnsi" w:hAnsiTheme="minorHAnsi" w:eastAsiaTheme="minorEastAsia" w:cstheme="minorBidi"/>
    </w:rPr>
  </w:style>
  <w:style w:type="paragraph" w:styleId="12">
    <w:name w:val="Plain Text"/>
    <w:basedOn w:val="1"/>
    <w:link w:val="54"/>
    <w:unhideWhenUsed/>
    <w:qFormat/>
    <w:uiPriority w:val="0"/>
    <w:rPr>
      <w:rFonts w:ascii="宋体" w:hAnsi="Courier New" w:cs="Courier New" w:eastAsiaTheme="minorEastAsia"/>
      <w:szCs w:val="21"/>
    </w:rPr>
  </w:style>
  <w:style w:type="paragraph" w:styleId="13">
    <w:name w:val="Date"/>
    <w:basedOn w:val="1"/>
    <w:next w:val="1"/>
    <w:link w:val="34"/>
    <w:qFormat/>
    <w:uiPriority w:val="0"/>
    <w:pPr>
      <w:ind w:left="100" w:leftChars="2500"/>
    </w:pPr>
  </w:style>
  <w:style w:type="paragraph" w:styleId="14">
    <w:name w:val="Body Text Indent 2"/>
    <w:basedOn w:val="1"/>
    <w:link w:val="77"/>
    <w:qFormat/>
    <w:uiPriority w:val="0"/>
    <w:pPr>
      <w:spacing w:after="120" w:line="480" w:lineRule="auto"/>
      <w:ind w:left="420" w:leftChars="200"/>
    </w:pPr>
  </w:style>
  <w:style w:type="paragraph" w:styleId="15">
    <w:name w:val="Balloon Text"/>
    <w:basedOn w:val="1"/>
    <w:link w:val="35"/>
    <w:qFormat/>
    <w:uiPriority w:val="0"/>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rPr>
      <w:rFonts w:asciiTheme="minorHAnsi" w:hAnsiTheme="minorHAnsi" w:eastAsiaTheme="minorEastAsia" w:cstheme="minorBidi"/>
    </w:rPr>
  </w:style>
  <w:style w:type="paragraph" w:styleId="19">
    <w:name w:val="toc 4"/>
    <w:basedOn w:val="1"/>
    <w:next w:val="1"/>
    <w:qFormat/>
    <w:uiPriority w:val="0"/>
    <w:pPr>
      <w:ind w:left="1260" w:leftChars="600"/>
    </w:pPr>
    <w:rPr>
      <w:rFonts w:asciiTheme="minorHAnsi" w:hAnsiTheme="minorHAnsi" w:eastAsiaTheme="minorEastAsia" w:cstheme="minorBidi"/>
    </w:rPr>
  </w:style>
  <w:style w:type="paragraph" w:styleId="20">
    <w:name w:val="Subtitle"/>
    <w:basedOn w:val="1"/>
    <w:next w:val="1"/>
    <w:link w:val="7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1">
    <w:name w:val="toc 2"/>
    <w:basedOn w:val="1"/>
    <w:next w:val="1"/>
    <w:qFormat/>
    <w:uiPriority w:val="0"/>
    <w:pPr>
      <w:ind w:left="420" w:leftChars="200"/>
    </w:pPr>
    <w:rPr>
      <w:rFonts w:asciiTheme="minorHAnsi" w:hAnsiTheme="minorHAnsi" w:eastAsiaTheme="minorEastAsia" w:cstheme="minorBidi"/>
    </w:rPr>
  </w:style>
  <w:style w:type="paragraph" w:styleId="22">
    <w:name w:val="Body Text 2"/>
    <w:basedOn w:val="1"/>
    <w:link w:val="52"/>
    <w:qFormat/>
    <w:uiPriority w:val="0"/>
    <w:pPr>
      <w:spacing w:after="120" w:line="480" w:lineRule="auto"/>
    </w:pPr>
  </w:style>
  <w:style w:type="paragraph" w:styleId="23">
    <w:name w:val="HTML Preformatted"/>
    <w:basedOn w:val="1"/>
    <w:next w:val="1"/>
    <w:link w:val="78"/>
    <w:qFormat/>
    <w:uiPriority w:val="0"/>
    <w:pPr>
      <w:spacing w:before="100" w:beforeAutospacing="1" w:after="100" w:afterAutospacing="1"/>
      <w:jc w:val="left"/>
    </w:pPr>
    <w:rPr>
      <w:rFonts w:ascii="Courier New" w:hAnsi="Courier New" w:cs="方正兰亭黑_GBK"/>
      <w:sz w:val="20"/>
      <w:szCs w:val="21"/>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link w:val="63"/>
    <w:qFormat/>
    <w:uiPriority w:val="10"/>
    <w:pPr>
      <w:jc w:val="center"/>
      <w:outlineLvl w:val="0"/>
    </w:pPr>
    <w:rPr>
      <w:rFonts w:ascii="Arial" w:hAnsi="Arial" w:eastAsiaTheme="minorEastAsia" w:cstheme="minorBidi"/>
      <w:b/>
      <w:sz w:val="32"/>
    </w:rPr>
  </w:style>
  <w:style w:type="paragraph" w:styleId="26">
    <w:name w:val="Body Text First Indent"/>
    <w:basedOn w:val="9"/>
    <w:link w:val="64"/>
    <w:qFormat/>
    <w:uiPriority w:val="0"/>
    <w:pPr>
      <w:spacing w:after="120"/>
      <w:ind w:left="0" w:firstLine="420" w:firstLineChars="100"/>
    </w:pPr>
    <w:rPr>
      <w:rFonts w:ascii="Calibri" w:hAnsi="Calibri" w:cs="Times New Roman"/>
      <w:sz w:val="21"/>
      <w:szCs w:val="24"/>
    </w:rPr>
  </w:style>
  <w:style w:type="table" w:styleId="28">
    <w:name w:val="Table Grid"/>
    <w:basedOn w:val="27"/>
    <w:qFormat/>
    <w:uiPriority w:val="9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qFormat/>
    <w:uiPriority w:val="0"/>
  </w:style>
  <w:style w:type="character" w:styleId="32">
    <w:name w:val="Emphasis"/>
    <w:qFormat/>
    <w:uiPriority w:val="20"/>
    <w:rPr>
      <w:i/>
      <w:iCs/>
    </w:rPr>
  </w:style>
  <w:style w:type="character" w:styleId="33">
    <w:name w:val="Hyperlink"/>
    <w:basedOn w:val="29"/>
    <w:qFormat/>
    <w:uiPriority w:val="99"/>
    <w:rPr>
      <w:color w:val="0000FF" w:themeColor="hyperlink"/>
      <w:u w:val="single"/>
      <w14:textFill>
        <w14:solidFill>
          <w14:schemeClr w14:val="hlink"/>
        </w14:solidFill>
      </w14:textFill>
    </w:rPr>
  </w:style>
  <w:style w:type="character" w:customStyle="1" w:styleId="34">
    <w:name w:val="日期 Char"/>
    <w:basedOn w:val="29"/>
    <w:link w:val="13"/>
    <w:qFormat/>
    <w:uiPriority w:val="0"/>
    <w:rPr>
      <w:kern w:val="2"/>
      <w:sz w:val="21"/>
      <w:szCs w:val="24"/>
    </w:rPr>
  </w:style>
  <w:style w:type="character" w:customStyle="1" w:styleId="35">
    <w:name w:val="批注框文本 Char"/>
    <w:basedOn w:val="29"/>
    <w:link w:val="15"/>
    <w:qFormat/>
    <w:uiPriority w:val="0"/>
    <w:rPr>
      <w:kern w:val="2"/>
      <w:sz w:val="18"/>
      <w:szCs w:val="18"/>
    </w:rPr>
  </w:style>
  <w:style w:type="character" w:customStyle="1" w:styleId="36">
    <w:name w:val="页眉 Char"/>
    <w:basedOn w:val="29"/>
    <w:link w:val="17"/>
    <w:qFormat/>
    <w:uiPriority w:val="0"/>
    <w:rPr>
      <w:kern w:val="2"/>
      <w:sz w:val="18"/>
      <w:szCs w:val="18"/>
    </w:rPr>
  </w:style>
  <w:style w:type="character" w:customStyle="1" w:styleId="37">
    <w:name w:val="页脚 Char"/>
    <w:basedOn w:val="29"/>
    <w:link w:val="16"/>
    <w:qFormat/>
    <w:uiPriority w:val="99"/>
    <w:rPr>
      <w:kern w:val="2"/>
      <w:sz w:val="18"/>
      <w:szCs w:val="18"/>
    </w:rPr>
  </w:style>
  <w:style w:type="character" w:customStyle="1" w:styleId="38">
    <w:name w:val="标题 1 Char"/>
    <w:basedOn w:val="29"/>
    <w:link w:val="2"/>
    <w:qFormat/>
    <w:uiPriority w:val="9"/>
    <w:rPr>
      <w:b/>
      <w:bCs/>
      <w:kern w:val="44"/>
      <w:sz w:val="44"/>
      <w:szCs w:val="44"/>
    </w:rPr>
  </w:style>
  <w:style w:type="paragraph" w:styleId="39">
    <w:name w:val="List Paragraph"/>
    <w:basedOn w:val="1"/>
    <w:qFormat/>
    <w:uiPriority w:val="34"/>
    <w:pPr>
      <w:ind w:firstLine="420" w:firstLineChars="200"/>
    </w:pPr>
    <w:rPr>
      <w:szCs w:val="22"/>
    </w:rPr>
  </w:style>
  <w:style w:type="character" w:customStyle="1" w:styleId="40">
    <w:name w:val="标题 3 Char"/>
    <w:basedOn w:val="29"/>
    <w:link w:val="5"/>
    <w:qFormat/>
    <w:uiPriority w:val="0"/>
    <w:rPr>
      <w:b/>
      <w:bCs/>
      <w:kern w:val="2"/>
      <w:sz w:val="32"/>
      <w:szCs w:val="32"/>
    </w:rPr>
  </w:style>
  <w:style w:type="paragraph" w:customStyle="1" w:styleId="41">
    <w:name w:val="Normal_0_0_0"/>
    <w:qFormat/>
    <w:uiPriority w:val="0"/>
    <w:pPr>
      <w:widowControl w:val="0"/>
      <w:jc w:val="both"/>
    </w:pPr>
    <w:rPr>
      <w:rFonts w:ascii="Calibri" w:hAnsi="Calibri" w:eastAsia="宋体" w:cs="Times New Roman"/>
      <w:lang w:val="en-US" w:eastAsia="zh-CN" w:bidi="ar-SA"/>
    </w:rPr>
  </w:style>
  <w:style w:type="paragraph" w:customStyle="1" w:styleId="42">
    <w:name w:val="_Style 1"/>
    <w:basedOn w:val="1"/>
    <w:qFormat/>
    <w:uiPriority w:val="34"/>
    <w:pPr>
      <w:ind w:firstLine="420" w:firstLineChars="200"/>
    </w:pPr>
    <w:rPr>
      <w:rFonts w:asciiTheme="minorHAnsi" w:hAnsiTheme="minorHAnsi" w:eastAsiaTheme="minorEastAsia" w:cstheme="minorBidi"/>
    </w:rPr>
  </w:style>
  <w:style w:type="character" w:customStyle="1" w:styleId="43">
    <w:name w:val="正文文本 Char"/>
    <w:basedOn w:val="29"/>
    <w:link w:val="9"/>
    <w:qFormat/>
    <w:uiPriority w:val="1"/>
    <w:rPr>
      <w:rFonts w:ascii="宋体" w:hAnsi="宋体" w:cstheme="minorBidi"/>
      <w:kern w:val="2"/>
      <w:sz w:val="28"/>
      <w:szCs w:val="28"/>
    </w:rPr>
  </w:style>
  <w:style w:type="character" w:customStyle="1" w:styleId="44">
    <w:name w:val="标题 2 Char"/>
    <w:basedOn w:val="29"/>
    <w:link w:val="4"/>
    <w:qFormat/>
    <w:uiPriority w:val="9"/>
    <w:rPr>
      <w:rFonts w:asciiTheme="majorHAnsi" w:hAnsiTheme="majorHAnsi" w:eastAsiaTheme="majorEastAsia" w:cstheme="majorBidi"/>
      <w:b/>
      <w:bCs/>
      <w:kern w:val="2"/>
      <w:sz w:val="32"/>
      <w:szCs w:val="32"/>
    </w:rPr>
  </w:style>
  <w:style w:type="character" w:customStyle="1" w:styleId="45">
    <w:name w:val="批注文字 Char"/>
    <w:basedOn w:val="29"/>
    <w:link w:val="8"/>
    <w:qFormat/>
    <w:uiPriority w:val="0"/>
    <w:rPr>
      <w:rFonts w:asciiTheme="minorHAnsi" w:hAnsiTheme="minorHAnsi" w:eastAsiaTheme="minorEastAsia" w:cstheme="minorBidi"/>
      <w:kern w:val="2"/>
      <w:sz w:val="21"/>
      <w:szCs w:val="24"/>
    </w:rPr>
  </w:style>
  <w:style w:type="paragraph" w:customStyle="1" w:styleId="4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7">
    <w:name w:val="Heading #2|1_"/>
    <w:basedOn w:val="29"/>
    <w:link w:val="48"/>
    <w:qFormat/>
    <w:uiPriority w:val="0"/>
    <w:rPr>
      <w:rFonts w:ascii="宋体" w:hAnsi="宋体" w:cs="宋体"/>
      <w:sz w:val="40"/>
      <w:szCs w:val="40"/>
      <w:lang w:val="zh-TW" w:eastAsia="zh-TW" w:bidi="zh-TW"/>
    </w:rPr>
  </w:style>
  <w:style w:type="paragraph" w:customStyle="1" w:styleId="48">
    <w:name w:val="Heading #2|1"/>
    <w:basedOn w:val="1"/>
    <w:link w:val="47"/>
    <w:qFormat/>
    <w:uiPriority w:val="0"/>
    <w:pPr>
      <w:spacing w:after="460" w:line="708" w:lineRule="exact"/>
      <w:jc w:val="center"/>
      <w:outlineLvl w:val="1"/>
    </w:pPr>
    <w:rPr>
      <w:rFonts w:ascii="宋体" w:hAnsi="宋体" w:cs="宋体"/>
      <w:kern w:val="0"/>
      <w:sz w:val="40"/>
      <w:szCs w:val="40"/>
      <w:lang w:val="zh-TW" w:eastAsia="zh-TW" w:bidi="zh-TW"/>
    </w:rPr>
  </w:style>
  <w:style w:type="character" w:customStyle="1" w:styleId="49">
    <w:name w:val="Body text|1_"/>
    <w:basedOn w:val="29"/>
    <w:link w:val="50"/>
    <w:qFormat/>
    <w:uiPriority w:val="0"/>
    <w:rPr>
      <w:rFonts w:ascii="宋体" w:hAnsi="宋体" w:cs="宋体"/>
      <w:sz w:val="28"/>
      <w:szCs w:val="28"/>
      <w:lang w:val="zh-TW" w:eastAsia="zh-TW" w:bidi="zh-TW"/>
    </w:rPr>
  </w:style>
  <w:style w:type="paragraph" w:customStyle="1" w:styleId="50">
    <w:name w:val="Body text|1"/>
    <w:basedOn w:val="1"/>
    <w:link w:val="49"/>
    <w:qFormat/>
    <w:uiPriority w:val="0"/>
    <w:pPr>
      <w:spacing w:line="456" w:lineRule="auto"/>
      <w:ind w:firstLine="400"/>
      <w:jc w:val="left"/>
    </w:pPr>
    <w:rPr>
      <w:rFonts w:ascii="宋体" w:hAnsi="宋体" w:cs="宋体"/>
      <w:kern w:val="0"/>
      <w:sz w:val="28"/>
      <w:szCs w:val="28"/>
      <w:lang w:val="zh-TW" w:eastAsia="zh-TW" w:bidi="zh-TW"/>
    </w:rPr>
  </w:style>
  <w:style w:type="paragraph" w:customStyle="1" w:styleId="51">
    <w:name w:val="普通(网站)1"/>
    <w:basedOn w:val="1"/>
    <w:qFormat/>
    <w:uiPriority w:val="0"/>
    <w:pPr>
      <w:widowControl/>
      <w:spacing w:before="100" w:beforeAutospacing="1" w:after="100" w:afterAutospacing="1"/>
      <w:jc w:val="left"/>
    </w:pPr>
    <w:rPr>
      <w:rFonts w:cs="黑体"/>
      <w:kern w:val="0"/>
      <w:sz w:val="24"/>
    </w:rPr>
  </w:style>
  <w:style w:type="character" w:customStyle="1" w:styleId="52">
    <w:name w:val="正文文本 2 Char"/>
    <w:basedOn w:val="29"/>
    <w:link w:val="22"/>
    <w:qFormat/>
    <w:uiPriority w:val="0"/>
    <w:rPr>
      <w:kern w:val="2"/>
      <w:sz w:val="21"/>
      <w:szCs w:val="24"/>
    </w:rPr>
  </w:style>
  <w:style w:type="paragraph" w:customStyle="1" w:styleId="53">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54">
    <w:name w:val="纯文本 Char"/>
    <w:basedOn w:val="29"/>
    <w:link w:val="12"/>
    <w:qFormat/>
    <w:uiPriority w:val="99"/>
    <w:rPr>
      <w:rFonts w:ascii="宋体" w:hAnsi="Courier New" w:cs="Courier New" w:eastAsiaTheme="minorEastAsia"/>
      <w:kern w:val="2"/>
      <w:sz w:val="21"/>
      <w:szCs w:val="21"/>
    </w:rPr>
  </w:style>
  <w:style w:type="character" w:customStyle="1" w:styleId="55">
    <w:name w:val="27-正文 Char"/>
    <w:link w:val="56"/>
    <w:qFormat/>
    <w:uiPriority w:val="0"/>
    <w:rPr>
      <w:sz w:val="28"/>
      <w:szCs w:val="28"/>
    </w:rPr>
  </w:style>
  <w:style w:type="paragraph" w:customStyle="1" w:styleId="56">
    <w:name w:val="27-正文"/>
    <w:basedOn w:val="1"/>
    <w:link w:val="55"/>
    <w:qFormat/>
    <w:uiPriority w:val="0"/>
    <w:pPr>
      <w:adjustRightInd w:val="0"/>
      <w:snapToGrid w:val="0"/>
      <w:spacing w:line="520" w:lineRule="exact"/>
      <w:ind w:firstLine="200" w:firstLineChars="200"/>
    </w:pPr>
    <w:rPr>
      <w:kern w:val="0"/>
      <w:sz w:val="28"/>
      <w:szCs w:val="28"/>
    </w:rPr>
  </w:style>
  <w:style w:type="character" w:customStyle="1" w:styleId="57">
    <w:name w:val="NormalCharacter"/>
    <w:qFormat/>
    <w:uiPriority w:val="0"/>
    <w:rPr>
      <w:kern w:val="2"/>
      <w:sz w:val="21"/>
      <w:szCs w:val="24"/>
      <w:lang w:val="en-US" w:eastAsia="zh-CN" w:bidi="ar-SA"/>
    </w:rPr>
  </w:style>
  <w:style w:type="paragraph" w:customStyle="1" w:styleId="58">
    <w:name w:val="UserStyle_0"/>
    <w:basedOn w:val="1"/>
    <w:next w:val="1"/>
    <w:qFormat/>
    <w:uiPriority w:val="0"/>
    <w:pPr>
      <w:spacing w:line="600" w:lineRule="exact"/>
      <w:ind w:firstLine="200" w:firstLineChars="200"/>
      <w:jc w:val="left"/>
      <w:textAlignment w:val="baseline"/>
    </w:pPr>
    <w:rPr>
      <w:rFonts w:eastAsia="仿宋_GB2312" w:asciiTheme="minorHAnsi" w:hAnsiTheme="minorHAnsi" w:cstheme="minorBidi"/>
      <w:sz w:val="32"/>
      <w:szCs w:val="32"/>
    </w:rPr>
  </w:style>
  <w:style w:type="character" w:customStyle="1" w:styleId="59">
    <w:name w:val="表格文本 字符"/>
    <w:link w:val="60"/>
    <w:qFormat/>
    <w:uiPriority w:val="0"/>
    <w:rPr>
      <w:rFonts w:ascii="宋体" w:hAnsi="宋体"/>
      <w:szCs w:val="21"/>
    </w:rPr>
  </w:style>
  <w:style w:type="paragraph" w:customStyle="1" w:styleId="60">
    <w:name w:val="表格文本"/>
    <w:basedOn w:val="1"/>
    <w:link w:val="59"/>
    <w:qFormat/>
    <w:uiPriority w:val="0"/>
    <w:pPr>
      <w:spacing w:line="240" w:lineRule="atLeast"/>
      <w:jc w:val="center"/>
    </w:pPr>
    <w:rPr>
      <w:rFonts w:ascii="宋体" w:hAnsi="宋体"/>
      <w:kern w:val="0"/>
      <w:sz w:val="20"/>
      <w:szCs w:val="21"/>
    </w:rPr>
  </w:style>
  <w:style w:type="paragraph" w:customStyle="1" w:styleId="61">
    <w:name w:val="正文缩进（4号宋体）"/>
    <w:basedOn w:val="6"/>
    <w:qFormat/>
    <w:uiPriority w:val="0"/>
    <w:pPr>
      <w:ind w:firstLine="200"/>
    </w:pPr>
    <w:rPr>
      <w:rFonts w:ascii="宋体" w:hAnsi="宋体" w:cs="宋体"/>
      <w:sz w:val="24"/>
      <w:lang w:eastAsia="en-US"/>
    </w:rPr>
  </w:style>
  <w:style w:type="paragraph" w:customStyle="1" w:styleId="62">
    <w:name w:val="Normal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标题 Char"/>
    <w:basedOn w:val="29"/>
    <w:link w:val="25"/>
    <w:qFormat/>
    <w:uiPriority w:val="10"/>
    <w:rPr>
      <w:rFonts w:ascii="Arial" w:hAnsi="Arial" w:eastAsiaTheme="minorEastAsia" w:cstheme="minorBidi"/>
      <w:b/>
      <w:kern w:val="2"/>
      <w:sz w:val="32"/>
      <w:szCs w:val="24"/>
    </w:rPr>
  </w:style>
  <w:style w:type="character" w:customStyle="1" w:styleId="64">
    <w:name w:val="正文首行缩进 Char"/>
    <w:basedOn w:val="43"/>
    <w:link w:val="26"/>
    <w:qFormat/>
    <w:uiPriority w:val="0"/>
    <w:rPr>
      <w:rFonts w:ascii="宋体" w:hAnsi="宋体" w:cstheme="minorBidi"/>
      <w:kern w:val="2"/>
      <w:sz w:val="21"/>
      <w:szCs w:val="24"/>
    </w:rPr>
  </w:style>
  <w:style w:type="paragraph" w:customStyle="1" w:styleId="65">
    <w:name w:val="规定表题"/>
    <w:basedOn w:val="1"/>
    <w:qFormat/>
    <w:uiPriority w:val="0"/>
    <w:pPr>
      <w:spacing w:before="120"/>
      <w:jc w:val="center"/>
    </w:pPr>
    <w:rPr>
      <w:b/>
      <w:w w:val="86"/>
      <w:szCs w:val="22"/>
    </w:rPr>
  </w:style>
  <w:style w:type="character" w:customStyle="1" w:styleId="66">
    <w:name w:val="正文文本缩进 Char"/>
    <w:basedOn w:val="29"/>
    <w:link w:val="10"/>
    <w:qFormat/>
    <w:uiPriority w:val="0"/>
    <w:rPr>
      <w:kern w:val="2"/>
      <w:sz w:val="21"/>
      <w:szCs w:val="24"/>
    </w:rPr>
  </w:style>
  <w:style w:type="paragraph" w:customStyle="1" w:styleId="67">
    <w:name w:val="标题1--"/>
    <w:basedOn w:val="68"/>
    <w:qFormat/>
    <w:uiPriority w:val="0"/>
    <w:pPr>
      <w:numPr>
        <w:ilvl w:val="0"/>
      </w:numPr>
      <w:outlineLvl w:val="0"/>
    </w:pPr>
    <w:rPr>
      <w:rFonts w:ascii="黑体" w:hAnsi="黑体" w:eastAsia="黑体"/>
      <w:sz w:val="28"/>
    </w:rPr>
  </w:style>
  <w:style w:type="paragraph" w:customStyle="1" w:styleId="68">
    <w:name w:val="标题2"/>
    <w:basedOn w:val="4"/>
    <w:qFormat/>
    <w:uiPriority w:val="0"/>
    <w:pPr>
      <w:keepNext w:val="0"/>
      <w:keepLines w:val="0"/>
      <w:numPr>
        <w:ilvl w:val="1"/>
        <w:numId w:val="1"/>
      </w:numPr>
      <w:adjustRightInd w:val="0"/>
      <w:spacing w:before="0" w:after="0" w:line="240" w:lineRule="auto"/>
    </w:pPr>
    <w:rPr>
      <w:rFonts w:ascii="Calibri" w:hAnsi="Calibri" w:eastAsia="宋体" w:cs="Times New Roman"/>
      <w:bCs w:val="0"/>
      <w:sz w:val="30"/>
      <w:szCs w:val="24"/>
    </w:rPr>
  </w:style>
  <w:style w:type="paragraph" w:customStyle="1" w:styleId="69">
    <w:name w:val="z-正文"/>
    <w:basedOn w:val="1"/>
    <w:qFormat/>
    <w:uiPriority w:val="0"/>
    <w:pPr>
      <w:spacing w:line="360" w:lineRule="auto"/>
    </w:pPr>
    <w:rPr>
      <w:sz w:val="24"/>
    </w:rPr>
  </w:style>
  <w:style w:type="paragraph" w:customStyle="1" w:styleId="70">
    <w:name w:val="样式1"/>
    <w:basedOn w:val="1"/>
    <w:qFormat/>
    <w:uiPriority w:val="0"/>
    <w:pPr>
      <w:adjustRightInd w:val="0"/>
    </w:pPr>
  </w:style>
  <w:style w:type="paragraph" w:customStyle="1" w:styleId="71">
    <w:name w:val="正文表标题"/>
    <w:next w:val="46"/>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72">
    <w:name w:val="Body text|2"/>
    <w:basedOn w:val="1"/>
    <w:qFormat/>
    <w:uiPriority w:val="0"/>
    <w:pPr>
      <w:spacing w:after="250" w:line="324" w:lineRule="auto"/>
      <w:ind w:firstLine="320"/>
    </w:pPr>
    <w:rPr>
      <w:sz w:val="30"/>
      <w:szCs w:val="30"/>
    </w:rPr>
  </w:style>
  <w:style w:type="paragraph" w:customStyle="1" w:styleId="73">
    <w:name w:val="Header or footer|2"/>
    <w:basedOn w:val="1"/>
    <w:qFormat/>
    <w:uiPriority w:val="0"/>
    <w:pPr>
      <w:jc w:val="left"/>
    </w:pPr>
    <w:rPr>
      <w:rFonts w:ascii="Times New Roman" w:hAnsi="Times New Roman" w:eastAsia="Times New Roman"/>
      <w:color w:val="000000"/>
      <w:kern w:val="0"/>
      <w:sz w:val="20"/>
      <w:szCs w:val="20"/>
      <w:lang w:val="zh-TW" w:eastAsia="zh-TW" w:bidi="zh-TW"/>
    </w:rPr>
  </w:style>
  <w:style w:type="paragraph" w:styleId="74">
    <w:name w:val="No Spacing"/>
    <w:link w:val="75"/>
    <w:qFormat/>
    <w:uiPriority w:val="1"/>
    <w:rPr>
      <w:rFonts w:ascii="Calibri" w:hAnsi="Calibri" w:eastAsia="宋体" w:cs="Times New Roman"/>
      <w:sz w:val="22"/>
      <w:szCs w:val="22"/>
      <w:lang w:val="en-US" w:eastAsia="zh-CN" w:bidi="ar-SA"/>
    </w:rPr>
  </w:style>
  <w:style w:type="character" w:customStyle="1" w:styleId="75">
    <w:name w:val="无间隔 Char"/>
    <w:link w:val="74"/>
    <w:qFormat/>
    <w:uiPriority w:val="1"/>
    <w:rPr>
      <w:sz w:val="22"/>
      <w:szCs w:val="22"/>
    </w:rPr>
  </w:style>
  <w:style w:type="character" w:customStyle="1" w:styleId="76">
    <w:name w:val="页脚 Char1"/>
    <w:qFormat/>
    <w:locked/>
    <w:uiPriority w:val="99"/>
    <w:rPr>
      <w:rFonts w:ascii="Times New Roman" w:hAnsi="Times New Roman" w:eastAsia="宋体" w:cs="Times New Roman"/>
      <w:sz w:val="18"/>
      <w:szCs w:val="18"/>
    </w:rPr>
  </w:style>
  <w:style w:type="character" w:customStyle="1" w:styleId="77">
    <w:name w:val="正文文本缩进 2 Char"/>
    <w:basedOn w:val="29"/>
    <w:link w:val="14"/>
    <w:qFormat/>
    <w:uiPriority w:val="0"/>
    <w:rPr>
      <w:kern w:val="2"/>
      <w:sz w:val="21"/>
      <w:szCs w:val="24"/>
    </w:rPr>
  </w:style>
  <w:style w:type="character" w:customStyle="1" w:styleId="78">
    <w:name w:val="HTML 预设格式 Char"/>
    <w:basedOn w:val="29"/>
    <w:link w:val="23"/>
    <w:qFormat/>
    <w:uiPriority w:val="0"/>
    <w:rPr>
      <w:rFonts w:ascii="Courier New" w:hAnsi="Courier New" w:cs="方正兰亭黑_GBK"/>
      <w:kern w:val="2"/>
      <w:szCs w:val="21"/>
    </w:rPr>
  </w:style>
  <w:style w:type="character" w:customStyle="1" w:styleId="79">
    <w:name w:val="副标题 Char"/>
    <w:basedOn w:val="29"/>
    <w:link w:val="20"/>
    <w:qFormat/>
    <w:uiPriority w:val="11"/>
    <w:rPr>
      <w:rFonts w:asciiTheme="majorHAnsi" w:hAnsiTheme="majorHAnsi" w:cstheme="majorBidi"/>
      <w:b/>
      <w:bCs/>
      <w:kern w:val="28"/>
      <w:sz w:val="32"/>
      <w:szCs w:val="32"/>
    </w:rPr>
  </w:style>
  <w:style w:type="paragraph" w:customStyle="1" w:styleId="80">
    <w:name w:val="p15"/>
    <w:basedOn w:val="1"/>
    <w:qFormat/>
    <w:uiPriority w:val="0"/>
    <w:pPr>
      <w:wordWrap w:val="0"/>
    </w:pPr>
    <w:rPr>
      <w:rFonts w:ascii="宋体" w:hAnsi="宋体"/>
      <w:sz w:val="20"/>
      <w:szCs w:val="20"/>
    </w:rPr>
  </w:style>
  <w:style w:type="paragraph" w:customStyle="1" w:styleId="81">
    <w:name w:val="p_12_华文仿宋"/>
    <w:basedOn w:val="1"/>
    <w:qFormat/>
    <w:uiPriority w:val="0"/>
    <w:pPr>
      <w:widowControl/>
      <w:spacing w:line="276" w:lineRule="auto"/>
      <w:jc w:val="left"/>
    </w:pPr>
    <w:rPr>
      <w:rFonts w:ascii="Times New Roman" w:hAnsi="华文仿宋" w:eastAsia="华文仿宋" w:cstheme="minorBidi"/>
      <w:color w:val="000000"/>
      <w:kern w:val="0"/>
      <w:sz w:val="24"/>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483B06-CA53-4ACE-9CF9-07F94F45B9F3}">
  <ds:schemaRefs/>
</ds:datastoreItem>
</file>

<file path=docProps/app.xml><?xml version="1.0" encoding="utf-8"?>
<Properties xmlns="http://schemas.openxmlformats.org/officeDocument/2006/extended-properties" xmlns:vt="http://schemas.openxmlformats.org/officeDocument/2006/docPropsVTypes">
  <Template>Normal</Template>
  <Pages>10</Pages>
  <Words>5287</Words>
  <Characters>5339</Characters>
  <Lines>41</Lines>
  <Paragraphs>11</Paragraphs>
  <TotalTime>3</TotalTime>
  <ScaleCrop>false</ScaleCrop>
  <LinksUpToDate>false</LinksUpToDate>
  <CharactersWithSpaces>5344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2022-11-22T06:47:00Z</dcterms:created>
  <dc:creator>啦啦啦♪(^∇^*)</dc:creator>
  <cp:lastModifiedBy>石头和月亮</cp:lastModifiedBy>
  <cp:lastPrinted>2022-11-04T02:04:00Z</cp:lastPrinted>
  <dcterms:modified xsi:type="dcterms:W3CDTF">2022-11-25T06:19:22Z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B6F87C1C82984A9DA33A0B15065D2D1D</vt:lpwstr>
  </property>
</Properties>
</file>