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5A8A2">
      <w:pPr>
        <w:keepNext w:val="0"/>
        <w:widowControl w:val="0"/>
        <w:rPr>
          <w:rFonts w:hint="eastAsia" w:ascii="仿宋_GB2312" w:eastAsia="仿宋_GB2312"/>
          <w:sz w:val="32"/>
          <w:szCs w:val="32"/>
        </w:rPr>
      </w:pPr>
      <w:r>
        <w:rPr>
          <w:rFonts w:hint="eastAsia" w:ascii="方正大标宋_GBK" w:eastAsia="方正大标宋_GBK"/>
          <w:sz w:val="32"/>
          <w:szCs w:val="32"/>
        </w:rPr>
        <w:t>附件2</w:t>
      </w:r>
    </w:p>
    <w:p w14:paraId="13BE9715">
      <w:pPr>
        <w:jc w:val="center"/>
        <w:rPr>
          <w:rFonts w:hint="eastAsia" w:ascii="方正小标宋_GBK" w:eastAsia="方正小标宋_GBK"/>
          <w:sz w:val="28"/>
          <w:szCs w:val="28"/>
        </w:rPr>
      </w:pPr>
      <w:bookmarkStart w:id="0" w:name="_GoBack"/>
      <w:r>
        <w:rPr>
          <w:rFonts w:hint="eastAsia" w:ascii="方正小标宋_GBK" w:eastAsia="方正小标宋_GBK"/>
          <w:sz w:val="44"/>
          <w:szCs w:val="44"/>
        </w:rPr>
        <w:t>推动已供未建项日建设行动指南</w:t>
      </w:r>
    </w:p>
    <w:p w14:paraId="11256182">
      <w:pPr>
        <w:jc w:val="center"/>
        <w:rPr>
          <w:rFonts w:hint="eastAsia" w:ascii="仿宋_GB2312" w:eastAsia="仿宋_GB2312"/>
          <w:sz w:val="32"/>
          <w:szCs w:val="32"/>
        </w:rPr>
      </w:pPr>
      <w:r>
        <w:rPr>
          <w:rFonts w:hint="eastAsia" w:ascii="仿宋_GB2312" w:eastAsia="仿宋_GB2312"/>
          <w:sz w:val="32"/>
          <w:szCs w:val="32"/>
        </w:rPr>
        <w:t>（征求意见稿）</w:t>
      </w:r>
    </w:p>
    <w:bookmarkEnd w:id="0"/>
    <w:p w14:paraId="44ABD883">
      <w:pPr>
        <w:jc w:val="center"/>
        <w:rPr>
          <w:rFonts w:hint="eastAsia" w:ascii="方正小标宋_GBK" w:eastAsia="方正小标宋_GBK"/>
          <w:sz w:val="28"/>
          <w:szCs w:val="28"/>
        </w:rPr>
      </w:pPr>
    </w:p>
    <w:p w14:paraId="46F133E1">
      <w:pPr>
        <w:ind w:firstLine="640" w:firstLineChars="200"/>
        <w:rPr>
          <w:rFonts w:hint="eastAsia" w:ascii="仿宋_GB2312" w:eastAsia="仿宋_GB2312"/>
          <w:sz w:val="32"/>
          <w:szCs w:val="32"/>
        </w:rPr>
      </w:pPr>
      <w:r>
        <w:rPr>
          <w:rFonts w:hint="eastAsia" w:ascii="仿宋_GB2312" w:eastAsia="仿宋_GB2312"/>
          <w:sz w:val="32"/>
          <w:szCs w:val="32"/>
        </w:rPr>
        <w:t>为推动全省已供未建房地产项目建设，明确已供未开工、已开工未竣工项目处置措施，制定本行动指南。</w:t>
      </w:r>
    </w:p>
    <w:p w14:paraId="6F87159E">
      <w:pPr>
        <w:ind w:firstLine="640" w:firstLineChars="200"/>
        <w:rPr>
          <w:rFonts w:hint="eastAsia" w:ascii="黑体" w:eastAsia="黑体"/>
          <w:sz w:val="32"/>
          <w:szCs w:val="32"/>
        </w:rPr>
      </w:pPr>
      <w:r>
        <w:rPr>
          <w:rFonts w:hint="eastAsia" w:ascii="黑体" w:eastAsia="黑体"/>
          <w:sz w:val="32"/>
          <w:szCs w:val="32"/>
        </w:rPr>
        <w:t>一、全力推进已供未开工项目开工建设</w:t>
      </w:r>
    </w:p>
    <w:p w14:paraId="6E9A0B4D">
      <w:pPr>
        <w:ind w:firstLine="640" w:firstLineChars="200"/>
        <w:rPr>
          <w:rFonts w:hint="eastAsia" w:ascii="仿宋_GB2312" w:eastAsia="仿宋_GB2312"/>
          <w:sz w:val="32"/>
          <w:szCs w:val="32"/>
        </w:rPr>
      </w:pPr>
      <w:r>
        <w:rPr>
          <w:rFonts w:hint="eastAsia" w:ascii="仿宋_GB2312" w:eastAsia="仿宋_GB2312"/>
          <w:sz w:val="32"/>
          <w:szCs w:val="32"/>
        </w:rPr>
        <w:t>未开工建设项目区分为未到约定开工期限的及已到约定开工期限而未开工的两种情形分别推进。</w:t>
      </w:r>
    </w:p>
    <w:p w14:paraId="6383359D">
      <w:pPr>
        <w:ind w:firstLine="640" w:firstLineChars="200"/>
        <w:rPr>
          <w:rFonts w:hint="eastAsia" w:ascii="仿宋_GB2312" w:eastAsia="仿宋_GB2312"/>
          <w:sz w:val="32"/>
          <w:szCs w:val="32"/>
        </w:rPr>
      </w:pPr>
      <w:r>
        <w:rPr>
          <w:rFonts w:hint="eastAsia" w:ascii="仿宋_GB2312" w:eastAsia="仿宋_GB2312"/>
          <w:sz w:val="32"/>
          <w:szCs w:val="32"/>
        </w:rPr>
        <w:t>（一）各地要严格落实净地出让，保障未到开工期的项目按期开工。签订出让合同时，除需保留的建筑物、构筑物以及人文遗产、景观等资源外，场地应拆除平整，确保具备开工条件。</w:t>
      </w:r>
    </w:p>
    <w:p w14:paraId="55607B30">
      <w:pPr>
        <w:ind w:firstLine="640" w:firstLineChars="200"/>
        <w:rPr>
          <w:rFonts w:hint="eastAsia" w:ascii="仿宋_GB2312" w:eastAsia="仿宋_GB2312"/>
          <w:sz w:val="32"/>
          <w:szCs w:val="32"/>
        </w:rPr>
      </w:pPr>
      <w:r>
        <w:rPr>
          <w:rFonts w:hint="eastAsia" w:ascii="仿宋_GB2312" w:eastAsia="仿宋_GB2312"/>
          <w:sz w:val="32"/>
          <w:szCs w:val="32"/>
        </w:rPr>
        <w:t>（二）因原土地使用权人无力开发导致已到约定开工期限未开工的，支持通过二级市场主体置换开发模式实现开工。</w:t>
      </w:r>
    </w:p>
    <w:p w14:paraId="7FA86DF0">
      <w:pPr>
        <w:ind w:firstLine="640" w:firstLineChars="200"/>
        <w:rPr>
          <w:rFonts w:hint="eastAsia" w:ascii="仿宋_GB2312" w:eastAsia="仿宋_GB2312"/>
          <w:sz w:val="32"/>
          <w:szCs w:val="32"/>
        </w:rPr>
      </w:pPr>
      <w:r>
        <w:rPr>
          <w:rFonts w:hint="eastAsia" w:ascii="仿宋_GB2312" w:eastAsia="仿宋_GB2312"/>
          <w:sz w:val="32"/>
          <w:szCs w:val="32"/>
        </w:rPr>
        <w:t>（三）因政府原因导致地块不具备开发利用条件，地方政府要及时协调解决。开发障碍消除后，重新约定开竣工时间，开发障碍消除前的期间，不计算开竣工违约期，不收取违约金。</w:t>
      </w:r>
    </w:p>
    <w:p w14:paraId="788C3BE8">
      <w:pPr>
        <w:ind w:firstLine="640" w:firstLineChars="200"/>
        <w:rPr>
          <w:rFonts w:hint="eastAsia" w:ascii="仿宋_GB2312" w:eastAsia="仿宋_GB2312"/>
          <w:sz w:val="32"/>
          <w:szCs w:val="32"/>
        </w:rPr>
      </w:pPr>
      <w:r>
        <w:rPr>
          <w:rFonts w:hint="eastAsia" w:ascii="仿宋_GB2312" w:eastAsia="仿宋_GB2312"/>
          <w:sz w:val="32"/>
          <w:szCs w:val="32"/>
        </w:rPr>
        <w:t>（四）超期一年以内的未开发土地，可通过减免违约金方式促开工。企业承诺在项目合理开发周期内动工的，可经市、县人民政府批准，签订补充协议，重新约定开竣工日期和违约金缴纳条款。企业按新约定的时限开竣工的，原合同约定的未按期开竣工产生的违约金不再收取。</w:t>
      </w:r>
    </w:p>
    <w:p w14:paraId="79E20CED">
      <w:pPr>
        <w:ind w:firstLine="640" w:firstLineChars="200"/>
        <w:rPr>
          <w:rFonts w:hint="eastAsia" w:ascii="黑体" w:eastAsia="黑体"/>
          <w:sz w:val="32"/>
          <w:szCs w:val="32"/>
        </w:rPr>
      </w:pPr>
      <w:r>
        <w:rPr>
          <w:rFonts w:hint="eastAsia" w:ascii="黑体" w:eastAsia="黑体"/>
          <w:sz w:val="32"/>
          <w:szCs w:val="32"/>
        </w:rPr>
        <w:t>二、多措并举推进已开工未竣工项目持续开发</w:t>
      </w:r>
    </w:p>
    <w:p w14:paraId="1614856A">
      <w:pPr>
        <w:ind w:firstLine="640" w:firstLineChars="200"/>
        <w:rPr>
          <w:rFonts w:hint="eastAsia" w:ascii="仿宋_GB2312" w:eastAsia="仿宋_GB2312"/>
          <w:sz w:val="32"/>
          <w:szCs w:val="32"/>
        </w:rPr>
      </w:pPr>
      <w:r>
        <w:rPr>
          <w:rFonts w:hint="eastAsia" w:ascii="仿宋_GB2312" w:eastAsia="仿宋_GB2312"/>
          <w:sz w:val="32"/>
          <w:szCs w:val="32"/>
        </w:rPr>
        <w:t>（五）已部分完工的，允许根据价款缴纳比例分割发证。对于部分建筑已完工且相应建筑面积比例的土地出让价款已缴清的，经市、县人民政府批准，可根据建筑面积占比对相应的土地办理不动产登记等手续，促进企业资金快速回笼，回笼资金优先缴纳剩余土地价款;用于抵押融资的，筹集的建设资金，用于未竣工部分项目建设。</w:t>
      </w:r>
    </w:p>
    <w:p w14:paraId="5D13C4E8">
      <w:pPr>
        <w:ind w:firstLine="640" w:firstLineChars="200"/>
        <w:rPr>
          <w:rFonts w:hint="eastAsia" w:ascii="仿宋_GB2312" w:eastAsia="仿宋_GB2312"/>
          <w:sz w:val="32"/>
          <w:szCs w:val="32"/>
        </w:rPr>
      </w:pPr>
      <w:r>
        <w:rPr>
          <w:rFonts w:hint="eastAsia" w:ascii="仿宋_GB2312" w:eastAsia="仿宋_GB2312"/>
          <w:sz w:val="32"/>
          <w:szCs w:val="32"/>
        </w:rPr>
        <w:t>（六）未完工部分不再开发的，经市、县人民政府批准，可先分割后，通过二级市场转让。</w:t>
      </w:r>
    </w:p>
    <w:p w14:paraId="2ABB1457">
      <w:pPr>
        <w:ind w:firstLine="640" w:firstLineChars="200"/>
        <w:rPr>
          <w:rFonts w:hint="eastAsia" w:ascii="仿宋_GB2312" w:eastAsia="仿宋_GB2312"/>
          <w:sz w:val="32"/>
          <w:szCs w:val="32"/>
        </w:rPr>
      </w:pPr>
      <w:r>
        <w:rPr>
          <w:rFonts w:hint="eastAsia" w:ascii="仿宋_GB2312" w:eastAsia="仿宋_GB2312"/>
          <w:sz w:val="32"/>
          <w:szCs w:val="32"/>
        </w:rPr>
        <w:t>（七）未完工部分，因规划用途不符合市场需求的，可先分割后，经市、县人民政府批准，调整剩余地块的规划用途、商住比、容积率等规划条件。</w:t>
      </w:r>
    </w:p>
    <w:p w14:paraId="762566F5">
      <w:pPr>
        <w:ind w:firstLine="640" w:firstLineChars="200"/>
        <w:rPr>
          <w:rFonts w:hint="eastAsia" w:ascii="仿宋_GB2312" w:eastAsia="仿宋_GB2312"/>
          <w:sz w:val="32"/>
          <w:szCs w:val="32"/>
        </w:rPr>
      </w:pPr>
      <w:r>
        <w:rPr>
          <w:rFonts w:hint="eastAsia" w:ascii="仿宋_GB2312" w:eastAsia="仿宋_GB2312"/>
          <w:sz w:val="32"/>
          <w:szCs w:val="32"/>
        </w:rPr>
        <w:t>（八）原土地使用权人无法继续开发的，可引入第三方合作继续开发，项目按新合同约定如期竣工的，不再收取原合同约定的未按期开发违约金。企业以存量土地出资（入股）,或引入投资方共同成立新公司的，经市、县人民政府批准，可与原建设用地使用权人、新成立的公司依法签订协议，重新约定土地使用权期限，以新公司作为土地使用权人办理开发建设手续。</w:t>
      </w:r>
    </w:p>
    <w:p w14:paraId="11AC651D">
      <w:pPr>
        <w:ind w:firstLine="640" w:firstLineChars="200"/>
        <w:rPr>
          <w:rFonts w:hint="eastAsia" w:ascii="仿宋_GB2312" w:eastAsia="仿宋_GB2312"/>
          <w:sz w:val="32"/>
          <w:szCs w:val="32"/>
        </w:rPr>
      </w:pPr>
      <w:r>
        <w:rPr>
          <w:rFonts w:hint="eastAsia" w:ascii="仿宋_GB2312" w:eastAsia="仿宋_GB2312"/>
          <w:sz w:val="32"/>
          <w:szCs w:val="32"/>
        </w:rPr>
        <w:t>本指南有效期至 2027年12月31日。</w:t>
      </w:r>
    </w:p>
    <w:p w14:paraId="7B982BE7"/>
    <w:sectPr>
      <w:pgSz w:w="11907" w:h="16840"/>
      <w:pgMar w:top="2098" w:right="1474" w:bottom="1985" w:left="158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兰亭黑_GBK">
    <w:altName w:val="微软雅黑"/>
    <w:panose1 w:val="02000000000000000000"/>
    <w:charset w:val="86"/>
    <w:family w:val="script"/>
    <w:pitch w:val="default"/>
    <w:sig w:usb0="00000000" w:usb1="00000000" w:usb2="00080016" w:usb3="00000000" w:csb0="00040001" w:csb1="00000000"/>
  </w:font>
  <w:font w:name="方正大标宋_GBK">
    <w:altName w:val="宋体"/>
    <w:panose1 w:val="02000000000000000000"/>
    <w:charset w:val="86"/>
    <w:family w:val="script"/>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9A1301"/>
    <w:rsid w:val="099A1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宋体"/>
      <w:kern w:val="2"/>
      <w:sz w:val="21"/>
      <w:szCs w:val="2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2026-03-27T04:17:00Z</dcterms:created>
  <dc:creator>邹丹</dc:creator>
  <cp:lastModifiedBy>邹丹</cp:lastModifiedBy>
  <dcterms:modified xsi:type="dcterms:W3CDTF">2026-03-27T04:17:54Z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68CE3A359D4444DE8B82A7301E470E90_11</vt:lpwstr>
  </property>
  <property fmtid="{D5CDD505-2E9C-101B-9397-08002B2CF9AE}" pid="4" name="KSOTemplateDocerSaveRecord">
    <vt:lpwstr>eyJoZGlkIjoiZWQzYzNiYjJhODUzZjliZTkxMWFhOWYzMTZiZTc0YzYiLCJ1c2VySWQiOiI0MTYyNDQwMTQifQ==</vt:lpwstr>
  </property>
</Properties>
</file>