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0"/>
        <w:jc w:val="both"/>
        <w:rPr>
          <w:rFonts w:ascii="黑体" w:eastAsia="黑体" w:cs="黑体" w:hint="eastAsia"/>
        </w:rPr>
      </w:pPr>
      <w:bookmarkStart w:id="0" w:name="_GoBack"/>
      <w:bookmarkEnd w:id="0"/>
      <w:r>
        <w:rPr>
          <w:rFonts w:ascii="黑体" w:eastAsia="黑体" w:cs="黑体" w:hint="eastAsia"/>
        </w:rPr>
        <w:t>附件</w:t>
      </w:r>
      <w:r>
        <w:rPr>
          <w:rFonts w:ascii="黑体" w:eastAsia="黑体" w:cs="黑体"/>
        </w:rPr>
        <w:t>1</w:t>
      </w:r>
    </w:p>
    <w:p>
      <w:pPr>
        <w:spacing w:after="0"/>
        <w:rPr>
          <w:rFonts w:ascii="方正仿宋_GB2312" w:eastAsia="方正仿宋_GB2312"/>
          <w:sz w:val="44"/>
          <w:szCs w:val="44"/>
        </w:rPr>
      </w:pPr>
    </w:p>
    <w:p>
      <w:pPr>
        <w:spacing w:after="0"/>
        <w:rPr>
          <w:rFonts w:ascii="方正仿宋_GB2312" w:eastAsia="方正仿宋_GB2312"/>
          <w:sz w:val="44"/>
          <w:szCs w:val="44"/>
        </w:rPr>
      </w:pPr>
    </w:p>
    <w:p>
      <w:pPr>
        <w:spacing w:after="0"/>
        <w:rPr>
          <w:rFonts w:ascii="方正仿宋_GB2312" w:eastAsia="方正仿宋_GB2312"/>
          <w:sz w:val="44"/>
          <w:szCs w:val="44"/>
        </w:rPr>
      </w:pPr>
    </w:p>
    <w:p>
      <w:pPr>
        <w:spacing w:afterLines="100" w:after="240" w:line="580" w:lineRule="exact"/>
        <w:rPr>
          <w:sz w:val="48"/>
          <w:szCs w:val="48"/>
        </w:rPr>
      </w:pPr>
      <w:r>
        <w:rPr>
          <w:rFonts w:ascii="方正小标宋_GBK" w:eastAsia="方正小标宋_GBK" w:hAnsi="Tahoma" w:hint="eastAsia"/>
          <w:sz w:val="48"/>
          <w:szCs w:val="48"/>
        </w:rPr>
        <w:t>吉林省突发性地质灾害趋势预测报告</w:t>
      </w:r>
    </w:p>
    <w:p>
      <w:pPr>
        <w:spacing w:after="0" w:line="540" w:lineRule="exact"/>
        <w:rPr>
          <w:rFonts w:hAnsi="Tahoma"/>
          <w:sz w:val="44"/>
          <w:szCs w:val="44"/>
        </w:rPr>
      </w:pPr>
      <w:r>
        <w:rPr>
          <w:rFonts w:hAnsi="Tahoma"/>
          <w:sz w:val="44"/>
          <w:szCs w:val="44"/>
        </w:rPr>
        <w:t>（2025年度）</w:t>
      </w: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0" w:line="540" w:lineRule="exact"/>
        <w:rPr>
          <w:rFonts w:ascii="方正仿宋_GB2312" w:eastAsia="方正仿宋_GB2312"/>
        </w:rPr>
      </w:pPr>
    </w:p>
    <w:p>
      <w:pPr>
        <w:spacing w:afterLines="100" w:after="240" w:line="540" w:lineRule="exact"/>
        <w:rPr>
          <w:rFonts w:ascii="方正仿宋_GB2312" w:eastAsia="方正仿宋_GB2312" w:cs="Times New Roman" w:hAnsi="Tahoma"/>
        </w:rPr>
      </w:pPr>
      <w:r>
        <w:rPr>
          <w:rFonts w:ascii="方正仿宋_GB2312" w:eastAsia="方正仿宋_GB2312" w:cs="Times New Roman" w:hAnsi="Tahoma"/>
        </w:rPr>
        <w:t>吉林省自然资源厅</w:t>
      </w:r>
    </w:p>
    <w:p>
      <w:pPr>
        <w:spacing w:afterLines="100" w:after="240" w:line="540" w:lineRule="exact"/>
        <w:rPr>
          <w:rFonts w:ascii="方正仿宋_GB2312" w:eastAsia="方正仿宋_GB2312" w:cs="Times New Roman" w:hAnsi="Tahoma"/>
        </w:rPr>
      </w:pPr>
      <w:r>
        <w:rPr>
          <w:rFonts w:ascii="方正仿宋_GB2312" w:eastAsia="方正仿宋_GB2312" w:cs="Times New Roman" w:hAnsi="Tahoma"/>
        </w:rPr>
        <w:t>二</w:t>
      </w:r>
      <w:r>
        <w:rPr>
          <w:rFonts w:ascii="方正仿宋_GB2312" w:eastAsia="方正仿宋_GB2312" w:cs="Times New Roman" w:hAnsi="Tahoma" w:hint="eastAsia"/>
        </w:rPr>
        <w:t>〇</w:t>
      </w:r>
      <w:r>
        <w:rPr>
          <w:rFonts w:ascii="方正仿宋_GB2312" w:eastAsia="方正仿宋_GB2312" w:cs="Times New Roman" w:hAnsi="Tahoma"/>
        </w:rPr>
        <w:t>二</w:t>
      </w:r>
      <w:r>
        <w:rPr>
          <w:rFonts w:ascii="方正仿宋_GB2312" w:eastAsia="方正仿宋_GB2312" w:cs="Times New Roman" w:hAnsi="Tahoma" w:hint="eastAsia"/>
        </w:rPr>
        <w:t>五</w:t>
      </w:r>
      <w:r>
        <w:rPr>
          <w:rFonts w:ascii="方正仿宋_GB2312" w:eastAsia="方正仿宋_GB2312" w:cs="Times New Roman" w:hAnsi="Tahoma"/>
        </w:rPr>
        <w:t>年三月</w:t>
      </w:r>
    </w:p>
    <w:p>
      <w:pPr>
        <w:spacing w:after="0" w:line="540" w:lineRule="exact"/>
        <w:rPr>
          <w:rFonts w:ascii="方正仿宋_GB2312" w:eastAsia="方正仿宋_GB2312" w:cs="Times New Roman"/>
          <w:sz w:val="28"/>
          <w:szCs w:val="28"/>
        </w:rPr>
      </w:pPr>
    </w:p>
    <w:p>
      <w:pPr>
        <w:spacing w:after="0" w:line="540" w:lineRule="exact"/>
        <w:rPr>
          <w:rFonts w:ascii="方正仿宋_GB2312" w:eastAsia="方正仿宋_GB2312" w:cs="Times New Roman"/>
          <w:sz w:val="28"/>
          <w:szCs w:val="28"/>
        </w:rPr>
      </w:pPr>
    </w:p>
    <w:sdt>
      <w:sdtPr>
        <w:rPr>
          <w:rFonts w:ascii="方正仿宋_GB2312" w:eastAsia="方正仿宋_GB2312" w:cs="Arial" w:hAnsi="Times New Roman" w:hint="eastAsia"/>
          <w:b w:val="0"/>
          <w:bCs w:val="0"/>
          <w:color w:val="auto"/>
          <w:sz w:val="22"/>
          <w:szCs w:val="22"/>
          <w:lang w:val="zh-CN"/>
        </w:rPr>
        <w:id w:val="-828389502"/>
        <w:docPartObj>
          <w:docPartGallery w:val="Table of Contents"/>
          <w:docPartUnique/>
        </w:docPartObj>
      </w:sdtPr>
      <w:sdtEndPr>
        <w:rPr>
          <w:rFonts w:ascii="楷体_GB2312" w:eastAsia="楷体_GB2312"/>
          <w:sz w:val="32"/>
          <w:szCs w:val="32"/>
          <w:lang w:val="en-US"/>
        </w:rPr>
      </w:sdtEndPr>
      <w:sdtContent>
        <w:p>
          <w:pPr>
            <w:pStyle w:val="32"/>
            <w:adjustRightInd w:val="0"/>
            <w:snapToGrid w:val="0"/>
            <w:spacing w:before="0"/>
            <w:jc w:val="center"/>
            <w:rPr>
              <w:rFonts w:ascii="方正黑体_GBK" w:eastAsia="方正黑体_GBK"/>
              <w:b w:val="0"/>
              <w:bCs w:val="0"/>
              <w:color w:val="auto"/>
              <w:sz w:val="36"/>
              <w:szCs w:val="36"/>
              <w:lang w:val="zh-CN"/>
            </w:rPr>
          </w:pPr>
          <w:r>
            <w:rPr>
              <w:rFonts w:ascii="方正黑体_GBK" w:eastAsia="方正黑体_GBK" w:hint="eastAsia"/>
              <w:b w:val="0"/>
              <w:bCs w:val="0"/>
              <w:color w:val="auto"/>
              <w:sz w:val="36"/>
              <w:szCs w:val="36"/>
              <w:lang w:val="zh-CN"/>
            </w:rPr>
            <w:t xml:space="preserve">目   </w:t>
          </w:r>
          <w:r>
            <w:rPr>
              <w:rFonts w:ascii="方正黑体_GBK" w:eastAsia="方正黑体_GBK"/>
              <w:b w:val="0"/>
              <w:bCs w:val="0"/>
              <w:color w:val="auto"/>
              <w:sz w:val="36"/>
              <w:szCs w:val="36"/>
              <w:lang w:val="zh-CN"/>
            </w:rPr>
            <w:t xml:space="preserve">   </w:t>
          </w:r>
          <w:r>
            <w:rPr>
              <w:rFonts w:ascii="方正黑体_GBK" w:eastAsia="方正黑体_GBK" w:hint="eastAsia"/>
              <w:b w:val="0"/>
              <w:bCs w:val="0"/>
              <w:color w:val="auto"/>
              <w:sz w:val="36"/>
              <w:szCs w:val="36"/>
              <w:lang w:val="zh-CN"/>
            </w:rPr>
            <w:t>录</w:t>
          </w:r>
        </w:p>
        <w:p>
          <w:pPr>
            <w:pStyle w:val="23"/>
            <w:tabs>
              <w:tab w:val="right" w:leader="dot" w:pos="8302"/>
            </w:tabs>
            <w:rPr>
              <w:kern w:val="2"/>
            </w:rPr>
          </w:pPr>
          <w:r>
            <w:fldChar w:fldCharType="begin"/>
          </w:r>
          <w:r>
            <w:instrText xml:space="preserve"> TOC \o "1-3" \h \z \u </w:instrText>
          </w:r>
          <w:r>
            <w:fldChar w:fldCharType="separate"/>
          </w:r>
          <w:r>
            <w:fldChar w:fldCharType="begin"/>
          </w:r>
          <w:r>
            <w:instrText>Hyperlink \l "_Toc132112204"</w:instrText>
          </w:r>
          <w:r>
            <w:fldChar w:fldCharType="separate"/>
          </w:r>
          <w:r>
            <w:rPr>
              <w:rFonts w:ascii="方正黑体_GBK" w:eastAsia="方正黑体_GBK" w:hint="eastAsia"/>
            </w:rPr>
            <w:t>前      言</w:t>
          </w:r>
          <w:r>
            <w:tab/>
          </w:r>
          <w:r>
            <w:fldChar w:fldCharType="begin"/>
          </w:r>
          <w:r>
            <w:instrText xml:space="preserve"> PAGEREF _Toc132112204 \h </w:instrText>
          </w:r>
          <w:r>
            <w:fldChar w:fldCharType="separate"/>
          </w:r>
          <w:r>
            <w:t>- 1 -</w:t>
          </w:r>
          <w:r>
            <w:fldChar w:fldCharType="end"/>
          </w:r>
          <w:r>
            <w:fldChar w:fldCharType="end"/>
          </w:r>
        </w:p>
        <w:p>
          <w:pPr>
            <w:pStyle w:val="23"/>
            <w:tabs>
              <w:tab w:val="right" w:leader="dot" w:pos="8302"/>
            </w:tabs>
            <w:rPr>
              <w:kern w:val="2"/>
            </w:rPr>
          </w:pPr>
          <w:r>
            <w:fldChar w:fldCharType="begin"/>
          </w:r>
          <w:r>
            <w:instrText>Hyperlink \l "_Toc132112205"</w:instrText>
          </w:r>
          <w:r>
            <w:fldChar w:fldCharType="separate"/>
          </w:r>
          <w:r>
            <w:rPr>
              <w:rFonts w:ascii="方正黑体_GBK" w:eastAsia="方正黑体_GBK"/>
            </w:rPr>
            <w:t>一、上年度趋势预测效果评价</w:t>
          </w:r>
          <w:r>
            <w:tab/>
          </w:r>
          <w:r>
            <w:fldChar w:fldCharType="begin"/>
          </w:r>
          <w:r>
            <w:instrText xml:space="preserve"> PAGEREF _Toc132112205 \h </w:instrText>
          </w:r>
          <w:r>
            <w:fldChar w:fldCharType="separate"/>
          </w:r>
          <w:r>
            <w:t>- 2 -</w:t>
          </w:r>
          <w:r>
            <w:fldChar w:fldCharType="end"/>
          </w:r>
          <w:r>
            <w:fldChar w:fldCharType="end"/>
          </w:r>
        </w:p>
        <w:p>
          <w:pPr>
            <w:pStyle w:val="24"/>
            <w:tabs>
              <w:tab w:val="right" w:leader="dot" w:pos="8302"/>
            </w:tabs>
            <w:rPr>
              <w:kern w:val="2"/>
            </w:rPr>
          </w:pPr>
          <w:r>
            <w:fldChar w:fldCharType="begin"/>
          </w:r>
          <w:r>
            <w:instrText>Hyperlink \l "_Toc132112206"</w:instrText>
          </w:r>
          <w:r>
            <w:fldChar w:fldCharType="separate"/>
          </w:r>
          <w:r>
            <w:t>（一）202</w:t>
          </w:r>
          <w:r>
            <w:rPr>
              <w:rFonts w:hint="eastAsia"/>
            </w:rPr>
            <w:t>4</w:t>
          </w:r>
          <w:r>
            <w:t>年趋势预测结论</w:t>
            <w:tab/>
          </w:r>
          <w:r>
            <w:fldChar w:fldCharType="begin"/>
          </w:r>
          <w:r>
            <w:instrText xml:space="preserve"> PAGEREF _Toc132112206 \h </w:instrText>
          </w:r>
          <w:r>
            <w:fldChar w:fldCharType="separate"/>
          </w:r>
          <w:r>
            <w:t>- 2 -</w:t>
          </w:r>
          <w:r>
            <w:fldChar w:fldCharType="end"/>
          </w:r>
          <w:r>
            <w:fldChar w:fldCharType="end"/>
          </w:r>
        </w:p>
        <w:p>
          <w:pPr>
            <w:pStyle w:val="24"/>
            <w:tabs>
              <w:tab w:val="right" w:leader="dot" w:pos="8302"/>
            </w:tabs>
            <w:rPr>
              <w:kern w:val="2"/>
            </w:rPr>
          </w:pPr>
          <w:r>
            <w:fldChar w:fldCharType="begin"/>
          </w:r>
          <w:r>
            <w:instrText>Hyperlink \l "_Toc132112207"</w:instrText>
          </w:r>
          <w:r>
            <w:fldChar w:fldCharType="separate"/>
          </w:r>
          <w:r>
            <w:t>（二）202</w:t>
          </w:r>
          <w:r>
            <w:rPr>
              <w:rFonts w:hint="eastAsia"/>
            </w:rPr>
            <w:t>4</w:t>
          </w:r>
          <w:r>
            <w:t>年地质灾害实况</w:t>
            <w:tab/>
          </w:r>
          <w:r>
            <w:fldChar w:fldCharType="begin"/>
          </w:r>
          <w:r>
            <w:instrText xml:space="preserve"> PAGEREF _Toc132112207 \h </w:instrText>
          </w:r>
          <w:r>
            <w:fldChar w:fldCharType="separate"/>
          </w:r>
          <w:r>
            <w:t>- 2 -</w:t>
          </w:r>
          <w:r>
            <w:fldChar w:fldCharType="end"/>
          </w:r>
          <w:r>
            <w:fldChar w:fldCharType="end"/>
          </w:r>
        </w:p>
        <w:p>
          <w:pPr>
            <w:pStyle w:val="24"/>
            <w:tabs>
              <w:tab w:val="right" w:leader="dot" w:pos="8302"/>
            </w:tabs>
            <w:rPr>
              <w:kern w:val="2"/>
            </w:rPr>
          </w:pPr>
          <w:r>
            <w:fldChar w:fldCharType="begin"/>
          </w:r>
          <w:r>
            <w:instrText>Hyperlink \l "_Toc132112208"</w:instrText>
          </w:r>
          <w:r>
            <w:fldChar w:fldCharType="separate"/>
          </w:r>
          <w:r>
            <w:t>（三）预测效果评价</w:t>
            <w:tab/>
          </w:r>
          <w:r>
            <w:fldChar w:fldCharType="begin"/>
          </w:r>
          <w:r>
            <w:instrText xml:space="preserve"> PAGEREF _Toc132112208 \h </w:instrText>
          </w:r>
          <w:r>
            <w:fldChar w:fldCharType="separate"/>
          </w:r>
          <w:r>
            <w:t>- 2 -</w:t>
          </w:r>
          <w:r>
            <w:fldChar w:fldCharType="end"/>
          </w:r>
          <w:r>
            <w:fldChar w:fldCharType="end"/>
          </w:r>
        </w:p>
        <w:p>
          <w:pPr>
            <w:pStyle w:val="23"/>
            <w:tabs>
              <w:tab w:val="right" w:leader="dot" w:pos="8302"/>
            </w:tabs>
            <w:rPr>
              <w:kern w:val="2"/>
            </w:rPr>
          </w:pPr>
          <w:r>
            <w:fldChar w:fldCharType="begin"/>
          </w:r>
          <w:r>
            <w:instrText>Hyperlink \l "_Toc132112209"</w:instrText>
          </w:r>
          <w:r>
            <w:fldChar w:fldCharType="separate"/>
          </w:r>
          <w:r>
            <w:rPr>
              <w:rFonts w:ascii="CESI黑体-GB2312" w:eastAsia="CESI黑体-GB2312"/>
            </w:rPr>
            <w:t>二、 202</w:t>
          </w:r>
          <w:r>
            <w:rPr>
              <w:rFonts w:ascii="CESI黑体-GB2312" w:eastAsia="CESI黑体-GB2312" w:hint="eastAsia"/>
            </w:rPr>
            <w:t>5</w:t>
          </w:r>
          <w:r>
            <w:rPr>
              <w:rFonts w:ascii="CESI黑体-GB2312" w:eastAsia="CESI黑体-GB2312"/>
            </w:rPr>
            <w:t>年地质灾害趋势分析</w:t>
          </w:r>
          <w:r>
            <w:tab/>
          </w:r>
          <w:r>
            <w:fldChar w:fldCharType="begin"/>
          </w:r>
          <w:r>
            <w:instrText xml:space="preserve"> PAGEREF _Toc132112209 \h </w:instrText>
          </w:r>
          <w:r>
            <w:fldChar w:fldCharType="separate"/>
          </w:r>
          <w:r>
            <w:t>- 4 -</w:t>
          </w:r>
          <w:r>
            <w:fldChar w:fldCharType="end"/>
          </w:r>
          <w:r>
            <w:fldChar w:fldCharType="end"/>
          </w:r>
        </w:p>
        <w:p>
          <w:pPr>
            <w:pStyle w:val="24"/>
            <w:tabs>
              <w:tab w:val="right" w:leader="dot" w:pos="8302"/>
            </w:tabs>
            <w:rPr>
              <w:kern w:val="2"/>
            </w:rPr>
          </w:pPr>
          <w:r>
            <w:fldChar w:fldCharType="begin"/>
          </w:r>
          <w:r>
            <w:instrText>Hyperlink \l "_Toc132112210"</w:instrText>
          </w:r>
          <w:r>
            <w:fldChar w:fldCharType="separate"/>
          </w:r>
          <w:r>
            <w:t>（一）统计</w:t>
          </w:r>
          <w:r>
            <w:rPr>
              <w:rFonts w:hint="eastAsia"/>
            </w:rPr>
            <w:t>分析</w:t>
          </w:r>
          <w:r>
            <w:t>法</w:t>
            <w:tab/>
          </w:r>
          <w:r>
            <w:fldChar w:fldCharType="begin"/>
          </w:r>
          <w:r>
            <w:instrText xml:space="preserve"> PAGEREF _Toc132112210 \h </w:instrText>
          </w:r>
          <w:r>
            <w:fldChar w:fldCharType="separate"/>
          </w:r>
          <w:r>
            <w:t>- 4 -</w:t>
          </w:r>
          <w:r>
            <w:fldChar w:fldCharType="end"/>
          </w:r>
          <w:r>
            <w:fldChar w:fldCharType="end"/>
          </w:r>
        </w:p>
        <w:p>
          <w:pPr>
            <w:pStyle w:val="24"/>
            <w:tabs>
              <w:tab w:val="right" w:leader="dot" w:pos="8302"/>
            </w:tabs>
            <w:rPr>
              <w:kern w:val="2"/>
            </w:rPr>
          </w:pPr>
          <w:r>
            <w:fldChar w:fldCharType="begin"/>
          </w:r>
          <w:r>
            <w:instrText>Hyperlink \l "_Toc132112211"</w:instrText>
          </w:r>
          <w:r>
            <w:fldChar w:fldCharType="separate"/>
          </w:r>
          <w:r>
            <w:t>（二）时空比对法</w:t>
            <w:tab/>
          </w:r>
          <w:r>
            <w:fldChar w:fldCharType="begin"/>
          </w:r>
          <w:r>
            <w:instrText xml:space="preserve"> PAGEREF _Toc132112211 \h </w:instrText>
          </w:r>
          <w:r>
            <w:fldChar w:fldCharType="separate"/>
          </w:r>
          <w:r>
            <w:t>- 7 -</w:t>
          </w:r>
          <w:r>
            <w:fldChar w:fldCharType="end"/>
          </w:r>
          <w:r>
            <w:fldChar w:fldCharType="end"/>
          </w:r>
        </w:p>
        <w:p>
          <w:pPr>
            <w:pStyle w:val="24"/>
            <w:tabs>
              <w:tab w:val="right" w:leader="dot" w:pos="8302"/>
            </w:tabs>
            <w:rPr>
              <w:kern w:val="2"/>
            </w:rPr>
          </w:pPr>
          <w:r>
            <w:fldChar w:fldCharType="begin"/>
          </w:r>
          <w:r>
            <w:instrText>Hyperlink \l "_Toc132112212"</w:instrText>
          </w:r>
          <w:r>
            <w:fldChar w:fldCharType="separate"/>
          </w:r>
          <w:r>
            <w:t>（三）叠加分析法</w:t>
            <w:tab/>
          </w:r>
          <w:r>
            <w:fldChar w:fldCharType="begin"/>
          </w:r>
          <w:r>
            <w:instrText xml:space="preserve"> PAGEREF _Toc132112212 \h </w:instrText>
          </w:r>
          <w:r>
            <w:fldChar w:fldCharType="separate"/>
          </w:r>
          <w:r>
            <w:t>- 9 -</w:t>
          </w:r>
          <w:r>
            <w:fldChar w:fldCharType="end"/>
          </w:r>
          <w:r>
            <w:fldChar w:fldCharType="end"/>
          </w:r>
        </w:p>
        <w:p>
          <w:pPr>
            <w:pStyle w:val="23"/>
            <w:tabs>
              <w:tab w:val="right" w:leader="dot" w:pos="8302"/>
            </w:tabs>
            <w:rPr>
              <w:kern w:val="2"/>
            </w:rPr>
          </w:pPr>
          <w:r>
            <w:fldChar w:fldCharType="begin"/>
          </w:r>
          <w:r>
            <w:instrText>Hyperlink \l "_Toc132112213"</w:instrText>
          </w:r>
          <w:r>
            <w:fldChar w:fldCharType="separate"/>
          </w:r>
          <w:r>
            <w:rPr>
              <w:rFonts w:ascii="方正黑体_GBK" w:eastAsia="方正黑体_GBK"/>
            </w:rPr>
            <w:t>三、202</w:t>
          </w:r>
          <w:r>
            <w:rPr>
              <w:rFonts w:ascii="方正黑体_GBK" w:eastAsia="方正黑体_GBK" w:hint="eastAsia"/>
            </w:rPr>
            <w:t>5</w:t>
          </w:r>
          <w:r>
            <w:rPr>
              <w:rFonts w:ascii="方正黑体_GBK" w:eastAsia="方正黑体_GBK"/>
            </w:rPr>
            <w:t>年地质灾害趋势预测结论</w:t>
          </w:r>
          <w:r>
            <w:tab/>
          </w:r>
          <w:r>
            <w:fldChar w:fldCharType="begin"/>
          </w:r>
          <w:r>
            <w:instrText xml:space="preserve"> PAGEREF _Toc132112213 \h </w:instrText>
          </w:r>
          <w:r>
            <w:fldChar w:fldCharType="separate"/>
          </w:r>
          <w:r>
            <w:t>- 10 -</w:t>
          </w:r>
          <w:r>
            <w:fldChar w:fldCharType="end"/>
          </w:r>
          <w:r>
            <w:fldChar w:fldCharType="end"/>
          </w:r>
        </w:p>
        <w:p>
          <w:pPr>
            <w:pStyle w:val="24"/>
            <w:tabs>
              <w:tab w:val="right" w:leader="dot" w:pos="8302"/>
            </w:tabs>
            <w:rPr>
              <w:kern w:val="2"/>
            </w:rPr>
          </w:pPr>
          <w:r>
            <w:fldChar w:fldCharType="begin"/>
          </w:r>
          <w:r>
            <w:instrText>Hyperlink \l "_Toc132112214"</w:instrText>
          </w:r>
          <w:r>
            <w:fldChar w:fldCharType="separate"/>
          </w:r>
          <w:r>
            <w:t>（一）总体预测结论</w:t>
            <w:tab/>
          </w:r>
          <w:r>
            <w:fldChar w:fldCharType="begin"/>
          </w:r>
          <w:r>
            <w:instrText xml:space="preserve"> PAGEREF _Toc132112214 \h </w:instrText>
          </w:r>
          <w:r>
            <w:fldChar w:fldCharType="separate"/>
          </w:r>
          <w:r>
            <w:t>- 10 -</w:t>
          </w:r>
          <w:r>
            <w:fldChar w:fldCharType="end"/>
          </w:r>
          <w:r>
            <w:fldChar w:fldCharType="end"/>
          </w:r>
        </w:p>
        <w:p>
          <w:pPr>
            <w:pStyle w:val="24"/>
            <w:tabs>
              <w:tab w:val="right" w:leader="dot" w:pos="8302"/>
            </w:tabs>
            <w:rPr>
              <w:kern w:val="2"/>
            </w:rPr>
          </w:pPr>
          <w:r>
            <w:fldChar w:fldCharType="begin"/>
          </w:r>
          <w:r>
            <w:instrText>Hyperlink \l "_Toc132112215"</w:instrText>
          </w:r>
          <w:r>
            <w:fldChar w:fldCharType="separate"/>
          </w:r>
          <w:r>
            <w:t>（二）重点防范区域预测</w:t>
            <w:tab/>
          </w:r>
          <w:r>
            <w:fldChar w:fldCharType="begin"/>
          </w:r>
          <w:r>
            <w:instrText xml:space="preserve"> PAGEREF _Toc132112215 \h </w:instrText>
          </w:r>
          <w:r>
            <w:fldChar w:fldCharType="separate"/>
          </w:r>
          <w:r>
            <w:t>- 11 -</w:t>
          </w:r>
          <w:r>
            <w:fldChar w:fldCharType="end"/>
          </w:r>
          <w:r>
            <w:fldChar w:fldCharType="end"/>
          </w:r>
        </w:p>
        <w:p>
          <w:pPr>
            <w:pStyle w:val="24"/>
            <w:tabs>
              <w:tab w:val="right" w:leader="dot" w:pos="8302"/>
            </w:tabs>
            <w:rPr>
              <w:kern w:val="2"/>
            </w:rPr>
          </w:pPr>
          <w:r>
            <w:fldChar w:fldCharType="begin"/>
          </w:r>
          <w:r>
            <w:instrText>Hyperlink \l "_Toc132112216"</w:instrText>
          </w:r>
          <w:r>
            <w:fldChar w:fldCharType="separate"/>
          </w:r>
          <w:r>
            <w:t>（三）重点防范时段预测</w:t>
            <w:tab/>
          </w:r>
          <w:r>
            <w:fldChar w:fldCharType="begin"/>
          </w:r>
          <w:r>
            <w:instrText xml:space="preserve"> PAGEREF _Toc132112216 \h </w:instrText>
          </w:r>
          <w:r>
            <w:fldChar w:fldCharType="separate"/>
          </w:r>
          <w:r>
            <w:t>- 11 -</w:t>
          </w:r>
          <w:r>
            <w:fldChar w:fldCharType="end"/>
          </w:r>
          <w:r>
            <w:fldChar w:fldCharType="end"/>
          </w:r>
        </w:p>
        <w:p>
          <w:pPr>
            <w:pStyle w:val="23"/>
            <w:tabs>
              <w:tab w:val="right" w:leader="dot" w:pos="8302"/>
            </w:tabs>
            <w:rPr>
              <w:kern w:val="2"/>
            </w:rPr>
          </w:pPr>
          <w:r>
            <w:fldChar w:fldCharType="begin"/>
          </w:r>
          <w:r>
            <w:instrText>Hyperlink \l "_Toc132112217"</w:instrText>
          </w:r>
          <w:r>
            <w:fldChar w:fldCharType="separate"/>
          </w:r>
          <w:r>
            <w:rPr>
              <w:rFonts w:ascii="CESI黑体-GB2312" w:eastAsia="CESI黑体-GB2312"/>
            </w:rPr>
            <w:t>四、防治建议</w:t>
          </w:r>
          <w:r>
            <w:tab/>
          </w:r>
          <w:r>
            <w:fldChar w:fldCharType="begin"/>
          </w:r>
          <w:r>
            <w:instrText xml:space="preserve"> PAGEREF _Toc132112217 \h </w:instrText>
          </w:r>
          <w:r>
            <w:fldChar w:fldCharType="separate"/>
          </w:r>
          <w:r>
            <w:t>- 12 -</w:t>
          </w:r>
          <w:r>
            <w:fldChar w:fldCharType="end"/>
          </w:r>
          <w:r>
            <w:fldChar w:fldCharType="end"/>
          </w:r>
        </w:p>
        <w:p>
          <w:pPr>
            <w:pStyle w:val="24"/>
            <w:tabs>
              <w:tab w:val="right" w:leader="dot" w:pos="8302"/>
            </w:tabs>
            <w:rPr>
              <w:kern w:val="2"/>
            </w:rPr>
          </w:pPr>
          <w:r>
            <w:fldChar w:fldCharType="begin"/>
          </w:r>
          <w:r>
            <w:instrText>Hyperlink \l "_Toc132112218"</w:instrText>
          </w:r>
          <w:r>
            <w:fldChar w:fldCharType="separate"/>
          </w:r>
          <w:r>
            <w:rPr>
              <w:rFonts w:cs="Times New Roman"/>
            </w:rPr>
            <w:t>（一）加强</w:t>
          </w:r>
          <w:r>
            <w:rPr>
              <w:rFonts w:cs="Times New Roman" w:hint="eastAsia"/>
            </w:rPr>
            <w:t>重点地区防范</w:t>
          </w:r>
          <w:r>
            <w:tab/>
          </w:r>
          <w:r>
            <w:fldChar w:fldCharType="begin"/>
          </w:r>
          <w:r>
            <w:instrText xml:space="preserve"> PAGEREF _Toc132112218 \h </w:instrText>
          </w:r>
          <w:r>
            <w:fldChar w:fldCharType="separate"/>
          </w:r>
          <w:r>
            <w:t>- 12 -</w:t>
          </w:r>
          <w:r>
            <w:fldChar w:fldCharType="end"/>
          </w:r>
          <w:r>
            <w:fldChar w:fldCharType="end"/>
          </w:r>
        </w:p>
        <w:p>
          <w:pPr>
            <w:pStyle w:val="24"/>
            <w:tabs>
              <w:tab w:val="right" w:leader="dot" w:pos="8302"/>
            </w:tabs>
            <w:rPr>
              <w:kern w:val="2"/>
            </w:rPr>
          </w:pPr>
          <w:r>
            <w:fldChar w:fldCharType="begin"/>
          </w:r>
          <w:r>
            <w:instrText>Hyperlink \l "_Toc132112219"</w:instrText>
          </w:r>
          <w:r>
            <w:fldChar w:fldCharType="separate"/>
          </w:r>
          <w:r>
            <w:rPr>
              <w:rFonts w:cs="Times New Roman"/>
            </w:rPr>
            <w:t>（二）</w:t>
          </w:r>
          <w:r>
            <w:rPr>
              <w:rFonts w:cs="Times New Roman" w:hint="eastAsia"/>
            </w:rPr>
            <w:t>加密巡查排查</w:t>
          </w:r>
          <w:r>
            <w:tab/>
          </w:r>
          <w:r>
            <w:fldChar w:fldCharType="begin"/>
          </w:r>
          <w:r>
            <w:instrText xml:space="preserve"> PAGEREF _Toc132112219 \h </w:instrText>
          </w:r>
          <w:r>
            <w:fldChar w:fldCharType="separate"/>
          </w:r>
          <w:r>
            <w:t>- 12 -</w:t>
          </w:r>
          <w:r>
            <w:fldChar w:fldCharType="end"/>
          </w:r>
          <w:r>
            <w:fldChar w:fldCharType="end"/>
          </w:r>
        </w:p>
        <w:p>
          <w:pPr>
            <w:pStyle w:val="24"/>
            <w:tabs>
              <w:tab w:val="right" w:leader="dot" w:pos="8302"/>
            </w:tabs>
            <w:rPr>
              <w:kern w:val="2"/>
            </w:rPr>
          </w:pPr>
          <w:r>
            <w:fldChar w:fldCharType="begin"/>
          </w:r>
          <w:r>
            <w:instrText>Hyperlink \l "_Toc132112220"</w:instrText>
          </w:r>
          <w:r>
            <w:fldChar w:fldCharType="separate"/>
          </w:r>
          <w:r>
            <w:rPr>
              <w:rFonts w:cs="Times New Roman"/>
            </w:rPr>
            <w:t>（三）强化群测群防体系建设</w:t>
          </w:r>
          <w:r>
            <w:tab/>
          </w:r>
          <w:r>
            <w:fldChar w:fldCharType="begin"/>
          </w:r>
          <w:r>
            <w:instrText xml:space="preserve"> PAGEREF _Toc132112220 \h </w:instrText>
          </w:r>
          <w:r>
            <w:fldChar w:fldCharType="separate"/>
          </w:r>
          <w:r>
            <w:t>- 12 -</w:t>
          </w:r>
          <w:r>
            <w:fldChar w:fldCharType="end"/>
          </w:r>
          <w:r>
            <w:fldChar w:fldCharType="end"/>
          </w:r>
        </w:p>
        <w:p>
          <w:pPr>
            <w:pStyle w:val="24"/>
            <w:tabs>
              <w:tab w:val="right" w:leader="dot" w:pos="8302"/>
            </w:tabs>
          </w:pPr>
          <w:r>
            <w:fldChar w:fldCharType="begin"/>
          </w:r>
          <w:r>
            <w:instrText>Hyperlink \l "_Toc132112221"</w:instrText>
          </w:r>
          <w:r>
            <w:fldChar w:fldCharType="separate"/>
          </w:r>
          <w:r>
            <w:rPr>
              <w:rFonts w:cs="Times New Roman"/>
            </w:rPr>
            <w:t>（四）</w:t>
          </w:r>
          <w:r>
            <w:rPr>
              <w:rFonts w:cs="Times New Roman" w:hint="eastAsia"/>
            </w:rPr>
            <w:t>做好预报预警</w:t>
          </w:r>
          <w:r>
            <w:tab/>
          </w:r>
          <w:r>
            <w:fldChar w:fldCharType="end"/>
          </w:r>
          <w:r>
            <w:fldChar w:fldCharType="begin"/>
          </w:r>
          <w:r>
            <w:instrText xml:space="preserve"> PAGEREF _Toc132112220 \h </w:instrText>
          </w:r>
          <w:r>
            <w:fldChar w:fldCharType="separate"/>
          </w:r>
          <w:r>
            <w:t>- 12 -</w:t>
          </w:r>
          <w:r>
            <w:fldChar w:fldCharType="end"/>
          </w:r>
        </w:p>
        <w:p>
          <w:pPr>
            <w:pStyle w:val="24"/>
            <w:tabs>
              <w:tab w:val="right" w:leader="dot" w:pos="8302"/>
            </w:tabs>
            <w:rPr>
              <w:kern w:val="2"/>
            </w:rPr>
          </w:pPr>
          <w:r>
            <w:fldChar w:fldCharType="begin"/>
          </w:r>
          <w:r>
            <w:instrText>Hyperlink \l "_Toc132112220"</w:instrText>
          </w:r>
          <w:r>
            <w:fldChar w:fldCharType="separate"/>
          </w:r>
          <w:r>
            <w:rPr>
              <w:rFonts w:cs="Times New Roman"/>
            </w:rPr>
            <w:t>（</w:t>
          </w:r>
          <w:r>
            <w:rPr>
              <w:rFonts w:cs="Times New Roman" w:hint="eastAsia"/>
            </w:rPr>
            <w:t>五</w:t>
          </w:r>
          <w:r>
            <w:rPr>
              <w:rFonts w:cs="Times New Roman"/>
            </w:rPr>
            <w:t>）</w:t>
          </w:r>
          <w:r>
            <w:rPr>
              <w:rFonts w:cs="Times New Roman" w:hint="eastAsia"/>
            </w:rPr>
            <w:t>有效发挥地质灾害预警系统</w:t>
          </w:r>
          <w:r>
            <w:rPr>
              <w:rFonts w:cs="Times New Roman"/>
            </w:rPr>
            <w:t>作用</w:t>
          </w:r>
          <w:r>
            <w:tab/>
          </w:r>
          <w:r>
            <w:fldChar w:fldCharType="begin"/>
          </w:r>
          <w:r>
            <w:instrText xml:space="preserve"> PAGEREF _Toc132112220 \h </w:instrText>
          </w:r>
          <w:r>
            <w:fldChar w:fldCharType="separate"/>
          </w:r>
          <w:r>
            <w:t>- 13 -</w:t>
          </w:r>
          <w:r>
            <w:fldChar w:fldCharType="end"/>
          </w:r>
          <w:r>
            <w:fldChar w:fldCharType="end"/>
          </w:r>
        </w:p>
        <w:p>
          <w:pPr>
            <w:pStyle w:val="24"/>
            <w:tabs>
              <w:tab w:val="right" w:leader="dot" w:pos="8302"/>
            </w:tabs>
            <w:sectPr>
              <w:pgSz w:w="11906" w:h="16838"/>
              <w:pgMar w:top="1440" w:right="1797" w:bottom="1440" w:left="1797" w:header="709" w:footer="709" w:gutter="0"/>
              <w:pgNumType w:start="1"/>
              <w:docGrid w:linePitch="360" w:charSpace="-6553"/>
            </w:sectPr>
          </w:pPr>
          <w:r>
            <w:fldChar w:fldCharType="begin"/>
          </w:r>
          <w:r>
            <w:instrText>Hyperlink \l "_Toc132112222"</w:instrText>
          </w:r>
          <w:r>
            <w:fldChar w:fldCharType="separate"/>
          </w:r>
          <w:r>
            <w:rPr>
              <w:rFonts w:cs="Times New Roman"/>
            </w:rPr>
            <w:t>（</w:t>
          </w:r>
          <w:r>
            <w:rPr>
              <w:rFonts w:cs="Times New Roman" w:hint="eastAsia"/>
            </w:rPr>
            <w:t>六</w:t>
          </w:r>
          <w:r>
            <w:rPr>
              <w:rFonts w:cs="Times New Roman"/>
            </w:rPr>
            <w:t>）开展宣传培训和演练</w:t>
          </w:r>
          <w:r>
            <w:rPr>
              <w:rFonts w:cs="Times New Roman" w:hint="eastAsia"/>
            </w:rPr>
            <w:t xml:space="preserve"> </w:t>
          </w:r>
          <w:r>
            <w:tab/>
          </w:r>
          <w:r>
            <w:fldChar w:fldCharType="begin"/>
          </w:r>
          <w:r>
            <w:instrText xml:space="preserve"> PAGEREF _Toc132112222 \h </w:instrText>
          </w:r>
          <w:r>
            <w:fldChar w:fldCharType="separate"/>
          </w:r>
          <w:r>
            <w:t>- 13 -</w:t>
          </w:r>
          <w:r>
            <w:fldChar w:fldCharType="end"/>
          </w:r>
          <w:r>
            <w:fldChar w:fldCharType="end"/>
          </w:r>
          <w:r>
            <w:fldChar w:fldCharType="end"/>
          </w:r>
        </w:p>
      </w:sdtContent>
    </w:sdt>
    <w:p>
      <w:pPr>
        <w:pStyle w:val="1"/>
        <w:spacing w:before="0" w:line="560" w:lineRule="exact"/>
        <w:jc w:val="center"/>
        <w:rPr>
          <w:rFonts w:ascii="方正黑体_GBK" w:eastAsia="方正黑体_GBK" w:hAnsi="Tahoma"/>
          <w:b w:val="0"/>
          <w:bCs w:val="0"/>
          <w:sz w:val="36"/>
          <w:szCs w:val="36"/>
        </w:rPr>
      </w:pPr>
      <w:bookmarkStart w:id="1" w:name="_Toc132112204"/>
      <w:r>
        <w:rPr>
          <w:rFonts w:ascii="方正黑体_GBK" w:eastAsia="方正黑体_GBK" w:hAnsi="Tahoma" w:hint="eastAsia"/>
          <w:b w:val="0"/>
          <w:bCs w:val="0"/>
          <w:sz w:val="36"/>
          <w:szCs w:val="36"/>
        </w:rPr>
        <w:t>前      言</w:t>
      </w:r>
      <w:bookmarkEnd w:id="1"/>
    </w:p>
    <w:p>
      <w:pPr>
        <w:pStyle w:val="30"/>
        <w:spacing w:line="560" w:lineRule="exact"/>
      </w:pPr>
      <w:r>
        <w:rPr>
          <w:rFonts w:hint="eastAsia"/>
        </w:rPr>
        <w:t>为加强全省突发性地质灾害防治工作，依据吉林省近10年的灾情数据、地质灾害风险普查成果及重要隐患点认定核销数据和2025年气象预测数据，采用统计分析、时空比对、叠加分析等方法，科学研判并预测可能发生地质灾害的类型、时段、规模以及灾后可能造成的损失，有针对性</w:t>
      </w:r>
      <w:r>
        <w:t>地</w:t>
      </w:r>
      <w:r>
        <w:rPr>
          <w:rFonts w:hint="eastAsia"/>
        </w:rPr>
        <w:t>做好防范应对工作，编制本趋势预测报告。</w:t>
      </w:r>
    </w:p>
    <w:p>
      <w:pPr>
        <w:pStyle w:val="30"/>
        <w:spacing w:line="560" w:lineRule="exact"/>
      </w:pPr>
      <w:r>
        <w:rPr>
          <w:rFonts w:hint="eastAsia"/>
        </w:rPr>
        <w:t>地质灾害趋势预测，是根据历史地质灾害活动规律、形成条件、发生机制以及灾害区承灾能力等因素，采用科学分析方法，推测和评估未来一定时期内地质灾害的发展变化情况和可能的危险性与破坏损失程度。</w:t>
      </w:r>
    </w:p>
    <w:p>
      <w:pPr>
        <w:pStyle w:val="30"/>
        <w:spacing w:line="560" w:lineRule="exact"/>
      </w:pPr>
      <w:r>
        <w:rPr>
          <w:rFonts w:hint="eastAsia"/>
        </w:rPr>
        <w:t>本报告涉及的趋势预测范围为全省易发区地质灾害隐患点，不含地震影响因素，预测结果存在一定的局限性。</w:t>
      </w:r>
    </w:p>
    <w:p>
      <w:pPr>
        <w:pStyle w:val="30"/>
        <w:spacing w:line="560" w:lineRule="exact"/>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jc w:val="both"/>
        <w:rPr>
          <w:rFonts w:ascii="方正仿宋_GB2312" w:eastAsia="方正仿宋_GB2312" w:cs="Times New Roman"/>
          <w:sz w:val="28"/>
          <w:szCs w:val="28"/>
        </w:rPr>
      </w:pPr>
      <w:r>
        <w:rPr>
          <w:rFonts w:ascii="方正仿宋_GB2312" w:eastAsia="方正仿宋_GB2312" w:cs="Times New Roman"/>
          <w:sz w:val="28"/>
          <w:szCs w:val="28"/>
        </w:rPr>
        <w:t xml:space="preserve">    </w:t>
      </w: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line="560" w:lineRule="exact"/>
        <w:ind w:firstLineChars="200" w:firstLine="560"/>
        <w:jc w:val="both"/>
        <w:rPr>
          <w:rFonts w:ascii="方正仿宋_GB2312" w:eastAsia="方正仿宋_GB2312" w:cs="Times New Roman"/>
          <w:sz w:val="28"/>
          <w:szCs w:val="28"/>
        </w:rPr>
      </w:pPr>
    </w:p>
    <w:p>
      <w:pPr>
        <w:spacing w:after="0"/>
        <w:rPr>
          <w:sz w:val="48"/>
          <w:szCs w:val="48"/>
        </w:rPr>
      </w:pPr>
      <w:r>
        <w:rPr>
          <w:rFonts w:ascii="方正小标宋_GBK" w:eastAsia="方正小标宋_GBK" w:hAnsi="Tahoma" w:hint="eastAsia"/>
          <w:sz w:val="48"/>
          <w:szCs w:val="48"/>
        </w:rPr>
        <w:t>吉林省突发性地质灾害趋势预测报告</w:t>
      </w:r>
    </w:p>
    <w:p>
      <w:pPr>
        <w:pStyle w:val="1"/>
        <w:spacing w:before="0" w:line="560" w:lineRule="exact"/>
        <w:ind w:firstLineChars="200" w:firstLine="640"/>
        <w:rPr>
          <w:rFonts w:ascii="方正黑体_GBK" w:eastAsia="方正黑体_GBK" w:hAnsi="Tahoma"/>
          <w:b w:val="0"/>
          <w:bCs w:val="0"/>
        </w:rPr>
      </w:pPr>
      <w:bookmarkStart w:id="2" w:name="_Toc132112205"/>
      <w:r>
        <w:rPr>
          <w:rFonts w:ascii="方正黑体_GBK" w:eastAsia="方正黑体_GBK" w:hAnsi="Tahoma" w:hint="eastAsia"/>
          <w:b w:val="0"/>
          <w:bCs w:val="0"/>
        </w:rPr>
        <w:t>一、上年度趋势预测效果评价</w:t>
      </w:r>
      <w:bookmarkEnd w:id="2"/>
    </w:p>
    <w:p>
      <w:pPr>
        <w:spacing w:after="0" w:line="560" w:lineRule="exact"/>
        <w:ind w:firstLineChars="150" w:firstLine="480"/>
        <w:jc w:val="both"/>
      </w:pPr>
      <w:bookmarkStart w:id="3" w:name="_Toc132112206"/>
      <w:r>
        <w:rPr>
          <w:rFonts w:hAnsi="Cambria" w:hint="eastAsia"/>
        </w:rPr>
        <w:t>（一）2024年趋势预测结论</w:t>
      </w:r>
      <w:bookmarkEnd w:id="3"/>
    </w:p>
    <w:p>
      <w:pPr>
        <w:pStyle w:val="30"/>
        <w:spacing w:line="560" w:lineRule="exact"/>
      </w:pPr>
      <w:r>
        <w:rPr>
          <w:rFonts w:hint="eastAsia"/>
        </w:rPr>
        <w:t>2024年地质灾害趋势预测结论为：预测全省地质灾害数量与近10年平均相近；灾情等级与近10年平均相近，规模以小型为主；重点时段为主汛期（7-8月）；主要发生在东南部地质灾害易发区内，主要灾害类型为崩塌和泥石流；地质灾害防范重点地区为白山、通化和延边地区（含长白山）。</w:t>
      </w:r>
    </w:p>
    <w:p>
      <w:pPr>
        <w:spacing w:after="0" w:line="560" w:lineRule="exact"/>
        <w:ind w:firstLineChars="150" w:firstLine="480"/>
        <w:jc w:val="both"/>
      </w:pPr>
      <w:bookmarkStart w:id="4" w:name="_Toc132112207"/>
      <w:r>
        <w:rPr>
          <w:rFonts w:hAnsi="Cambria"/>
        </w:rPr>
        <w:t>（二）2024年地质灾害实况</w:t>
      </w:r>
      <w:bookmarkEnd w:id="4"/>
    </w:p>
    <w:p>
      <w:pPr>
        <w:pStyle w:val="30"/>
        <w:spacing w:line="560" w:lineRule="exact"/>
      </w:pPr>
      <w:r>
        <w:rPr>
          <w:rFonts w:hint="eastAsia"/>
        </w:rPr>
        <w:t>2024年全省共发生各类地质灾害219起，其中崩塌133起</w:t>
      </w:r>
      <w:r>
        <w:t>，</w:t>
      </w:r>
      <w:r>
        <w:rPr>
          <w:rFonts w:hint="eastAsia"/>
        </w:rPr>
        <w:t>泥石流75起</w:t>
      </w:r>
      <w:r>
        <w:t>，</w:t>
      </w:r>
      <w:r>
        <w:rPr>
          <w:rFonts w:hint="eastAsia"/>
        </w:rPr>
        <w:t>滑坡11起；</w:t>
      </w:r>
      <w:r>
        <w:rPr>
          <w:rFonts w:ascii="Cambria" w:cs="Cambria" w:hAnsi="Cambria" w:hint="eastAsia"/>
        </w:rPr>
        <w:t>灾情等级为</w:t>
      </w:r>
      <w:r>
        <w:rPr>
          <w:rFonts w:hint="eastAsia"/>
        </w:rPr>
        <w:t>中型的3起，其余均为小型；灾害规模全部为小型；未造成人员伤亡，造成直接经济损失共1033.84万元；白山169起，通化41起，吉林4起，延边2起，长白山、四平和长春各1起；主汛期（7-8月份）发生灾害217起，占全年灾害总数的99%；2月份和4月份各1起，分别占灾害总数的0.5%。</w:t>
      </w:r>
    </w:p>
    <w:p>
      <w:pPr>
        <w:spacing w:after="0" w:line="560" w:lineRule="exact"/>
        <w:ind w:firstLineChars="150" w:firstLine="480"/>
        <w:jc w:val="both"/>
        <w:rPr>
          <w:rFonts w:hAnsi="Cambria"/>
        </w:rPr>
      </w:pPr>
      <w:bookmarkStart w:id="5" w:name="_Toc132112208"/>
      <w:r>
        <w:rPr>
          <w:rFonts w:hAnsi="Cambria"/>
        </w:rPr>
        <w:t>（三）预测效果评价</w:t>
      </w:r>
      <w:bookmarkEnd w:id="5"/>
    </w:p>
    <w:p>
      <w:pPr>
        <w:pStyle w:val="30"/>
        <w:spacing w:line="560" w:lineRule="exact"/>
        <w:rPr>
          <w:rFonts w:ascii="方正仿宋_GB2312" w:eastAsia="方正仿宋_GB2312"/>
        </w:rPr>
      </w:pPr>
      <w:r>
        <w:rPr>
          <w:rFonts w:hint="eastAsia"/>
        </w:rPr>
        <w:t>根据2024年灾情实况数据，与2</w:t>
      </w:r>
      <w:r>
        <w:t>024</w:t>
      </w:r>
      <w:r>
        <w:rPr>
          <w:rFonts w:hint="eastAsia"/>
        </w:rPr>
        <w:t>年预测结论进行对比分析，预测效果进行评价如下</w:t>
      </w:r>
      <w:r>
        <w:rPr>
          <w:rFonts w:ascii="方正仿宋_GB2312" w:eastAsia="方正仿宋_GB2312" w:hint="eastAsia"/>
        </w:rPr>
        <w:t>。</w:t>
      </w:r>
    </w:p>
    <w:p>
      <w:pPr>
        <w:pStyle w:val="30"/>
        <w:spacing w:line="560" w:lineRule="exact"/>
      </w:pPr>
      <w:r>
        <w:rPr>
          <w:rFonts w:ascii="Cambria" w:eastAsia="方正仿宋_GB2312" w:cs="Cambria" w:hAnsi="Cambria" w:hint="eastAsia"/>
          <w:b/>
        </w:rPr>
        <w:t>一是</w:t>
      </w:r>
      <w:r>
        <w:rPr>
          <w:rFonts w:ascii="方正仿宋_GB2312" w:eastAsia="方正仿宋_GB2312" w:hint="eastAsia"/>
          <w:b/>
        </w:rPr>
        <w:t>灾情</w:t>
      </w:r>
      <w:r>
        <w:rPr>
          <w:rFonts w:ascii="Cambria" w:eastAsia="方正仿宋_GB2312" w:cs="Cambria" w:hAnsi="Cambria" w:hint="eastAsia"/>
          <w:b/>
        </w:rPr>
        <w:t>数量和损失</w:t>
      </w:r>
      <w:r>
        <w:rPr>
          <w:rFonts w:ascii="方正仿宋_GB2312" w:eastAsia="方正仿宋_GB2312" w:hint="eastAsia"/>
          <w:b/>
        </w:rPr>
        <w:t>偏差</w:t>
      </w:r>
      <w:r>
        <w:rPr>
          <w:rFonts w:ascii="Cambria" w:eastAsia="方正仿宋_GB2312" w:cs="Cambria" w:hAnsi="Cambria" w:hint="eastAsia"/>
          <w:b/>
        </w:rPr>
        <w:t>较大</w:t>
      </w:r>
      <w:r>
        <w:rPr>
          <w:rFonts w:ascii="方正仿宋_GB2312" w:eastAsia="方正仿宋_GB2312" w:hint="eastAsia"/>
          <w:b/>
        </w:rPr>
        <w:t>。</w:t>
      </w:r>
      <w:r>
        <w:rPr>
          <w:rFonts w:hint="eastAsia"/>
        </w:rPr>
        <w:t>2024年全省实际发生地质灾害219起，直接经济损失1033.84万元，灾害数量和直接经济损失比2</w:t>
      </w:r>
      <w:r>
        <w:t>023</w:t>
      </w:r>
      <w:r>
        <w:rPr>
          <w:rFonts w:hint="eastAsia"/>
        </w:rPr>
        <w:t>年和近1</w:t>
      </w:r>
      <w:r>
        <w:t>0</w:t>
      </w:r>
      <w:r>
        <w:rPr>
          <w:rFonts w:hint="eastAsia"/>
        </w:rPr>
        <w:t>年平均大幅增加。预测结果为“灾情数量与常年相近”，实况与预测存在较大偏差。</w:t>
      </w:r>
      <w:r>
        <w:rPr>
          <w:rFonts w:hint="eastAsia"/>
          <w:b/>
        </w:rPr>
        <w:t>二是其他预测结论契合度高。</w:t>
      </w:r>
      <w:r>
        <w:rPr>
          <w:rFonts w:hint="eastAsia"/>
        </w:rPr>
        <w:t>预测结论“</w:t>
      </w:r>
      <w:r>
        <w:rPr>
          <w:rFonts w:ascii="方正仿宋_GB2312" w:eastAsia="方正仿宋_GB2312" w:hint="eastAsia"/>
        </w:rPr>
        <w:t>灾情等级与近10年平均相近，规模以小型为主，重点时段为主汛期，灾害类型为崩塌和泥石流，重点地区为白山、通化和延边</w:t>
      </w:r>
      <w:r>
        <w:rPr>
          <w:rFonts w:hint="eastAsia"/>
        </w:rPr>
        <w:t>地区（含长白山）”与实况基本一致。</w:t>
      </w:r>
      <w:r>
        <w:rPr>
          <w:rFonts w:hint="eastAsia"/>
          <w:b/>
        </w:rPr>
        <w:t>三是偏差原因为降水集中且偏多。</w:t>
      </w:r>
      <w:r>
        <w:rPr>
          <w:rFonts w:cs="___WRD_EMBED_SUB_52" w:hint="eastAsia"/>
        </w:rPr>
        <w:t>根据《</w:t>
      </w:r>
      <w:r>
        <w:rPr>
          <w:rFonts w:hint="eastAsia"/>
        </w:rPr>
        <w:t>吉林省气候公报（2024年）》，夏季平均降水量为</w:t>
      </w:r>
      <w:r>
        <w:t>528.7</w:t>
      </w:r>
      <w:r>
        <w:rPr>
          <w:rFonts w:hint="eastAsia"/>
        </w:rPr>
        <w:t>毫米，比常年平均降水量多3</w:t>
      </w:r>
      <w:r>
        <w:t>8</w:t>
      </w:r>
      <w:r>
        <w:rPr>
          <w:rFonts w:hint="eastAsia"/>
        </w:rPr>
        <w:t>%，受台风格美外围气流影响，其中7月份</w:t>
      </w:r>
      <w:r>
        <w:rPr>
          <w:rFonts w:cs="___WRD_EMBED_SUB_52" w:hint="eastAsia"/>
        </w:rPr>
        <w:t>降水量偏多</w:t>
      </w:r>
      <w:r>
        <w:rPr>
          <w:rFonts w:hint="eastAsia"/>
        </w:rPr>
        <w:t>9成，年初降雨预测结论为“主汛期（7-8月份）全省平均降水量为370～400毫米，与常年（383.1毫米）相近”，实况与预测存在较大偏差。</w:t>
      </w:r>
    </w:p>
    <w:p>
      <w:pPr>
        <w:spacing w:after="0" w:line="560" w:lineRule="exact"/>
        <w:rPr>
          <w:rFonts w:ascii="方正楷体_GB2312" w:eastAsia="方正楷体_GB2312" w:cs="Times New Roman" w:hAnsi="Tahoma"/>
          <w:kern w:val="2"/>
          <w:sz w:val="28"/>
          <w:szCs w:val="28"/>
        </w:rPr>
      </w:pPr>
      <w:r>
        <w:drawing>
          <wp:anchor distT="0" distB="0" distL="114300" distR="114300" simplePos="0" relativeHeight="27" behindDoc="0" locked="0" layoutInCell="1" hidden="0" allowOverlap="1">
            <wp:simplePos x="0" y="0"/>
            <wp:positionH relativeFrom="column">
              <wp:posOffset>207010</wp:posOffset>
            </wp:positionH>
            <wp:positionV relativeFrom="paragraph">
              <wp:posOffset>8890</wp:posOffset>
            </wp:positionV>
            <wp:extent cx="4825998" cy="2743200"/>
            <wp:effectExtent l="0" t="0" r="0" b="0"/>
            <wp:wrapTight wrapText="bothSides">
              <wp:wrapPolygon>
                <wp:start x="-22" y="-30"/>
                <wp:lineTo x="-22" y="21569"/>
                <wp:lineTo x="21591" y="21569"/>
                <wp:lineTo x="21591" y="-30"/>
                <wp:lineTo x="-22" y="-30"/>
              </wp:wrapPolygon>
            </wp:wrapTight>
            <wp:docPr id="1" name="图表 7"/>
            <wp:cNvGraphicFramePr>
              <a:graphicFrameLocks noChangeAspect="0"/>
            </wp:cNvGraphicFramePr>
            <a:graphic>
              <a:graphicData uri="http://schemas.openxmlformats.org/drawingml/2006/chart">
                <c:chart xmlns:c="http://schemas.openxmlformats.org/drawingml/2006/chart" r:id="rId3"/>
              </a:graphicData>
            </a:graphic>
          </wp:anchor>
        </w:drawing>
      </w:r>
      <w:r>
        <w:rPr>
          <w:rFonts w:ascii="方正楷体_GB2312" w:eastAsia="方正楷体_GB2312" w:cs="Times New Roman" w:hAnsi="Tahoma" w:hint="eastAsia"/>
          <w:kern w:val="2"/>
          <w:sz w:val="28"/>
          <w:szCs w:val="28"/>
        </w:rPr>
        <w:t>图1-1    2024年地质灾害分布统计图</w:t>
      </w:r>
    </w:p>
    <w:p>
      <w:pPr>
        <w:spacing w:after="0" w:line="560" w:lineRule="exact"/>
        <w:rPr>
          <w:rFonts w:ascii="方正楷体_GB2312" w:eastAsia="方正楷体_GB2312" w:cs="Times New Roman" w:hAnsi="Tahoma"/>
          <w:kern w:val="2"/>
          <w:sz w:val="28"/>
          <w:szCs w:val="28"/>
        </w:rPr>
      </w:pPr>
    </w:p>
    <w:p>
      <w:pPr>
        <w:spacing w:after="0" w:line="560" w:lineRule="exact"/>
        <w:rPr>
          <w:rFonts w:ascii="方正楷体_GB2312" w:eastAsia="方正楷体_GB2312" w:cs="Times New Roman" w:hAnsi="Tahoma"/>
          <w:kern w:val="2"/>
          <w:sz w:val="28"/>
          <w:szCs w:val="28"/>
        </w:rPr>
      </w:pPr>
    </w:p>
    <w:p>
      <w:pPr>
        <w:spacing w:after="0" w:line="560" w:lineRule="exact"/>
        <w:rPr>
          <w:rFonts w:ascii="方正楷体_GB2312" w:eastAsia="方正楷体_GB2312" w:cs="Times New Roman" w:hAnsi="Tahoma"/>
          <w:kern w:val="2"/>
          <w:sz w:val="28"/>
          <w:szCs w:val="28"/>
        </w:rPr>
      </w:pPr>
    </w:p>
    <w:p>
      <w:pPr>
        <w:spacing w:after="0" w:line="560" w:lineRule="exact"/>
        <w:rPr>
          <w:rFonts w:ascii="方正楷体_GB2312" w:eastAsia="方正楷体_GB2312" w:cs="Times New Roman" w:hAnsi="Tahoma"/>
          <w:kern w:val="2"/>
          <w:sz w:val="28"/>
          <w:szCs w:val="28"/>
        </w:rPr>
      </w:pPr>
    </w:p>
    <w:p>
      <w:pPr>
        <w:spacing w:after="0" w:line="560" w:lineRule="exact"/>
        <w:rPr>
          <w:rFonts w:ascii="方正楷体_GB2312" w:eastAsia="方正楷体_GB2312" w:cs="Times New Roman" w:hAnsi="Tahoma"/>
          <w:kern w:val="2"/>
          <w:sz w:val="28"/>
          <w:szCs w:val="28"/>
        </w:rPr>
      </w:pPr>
      <w:r>
        <w:rPr>
          <w:rFonts w:ascii="方正楷体_GB2312" w:eastAsia="方正楷体_GB2312" w:cs="Times New Roman" w:hAnsi="Tahoma" w:hint="eastAsia"/>
          <w:kern w:val="2"/>
          <w:sz w:val="28"/>
          <w:szCs w:val="28"/>
        </w:rPr>
        <w:t>表1-1     2024年与往年地质灾害基本情况对比表</w:t>
      </w:r>
    </w:p>
    <w:tbl>
      <w:tblPr>
        <w:jc w:val="left"/>
        <w:tblInd w:w="108" w:type="dxa"/>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23"/>
        <w:gridCol w:w="1050"/>
        <w:gridCol w:w="1171"/>
        <w:gridCol w:w="1138"/>
        <w:gridCol w:w="816"/>
        <w:gridCol w:w="2919"/>
      </w:tblGrid>
      <w:tr>
        <w:trPr>
          <w:trHeight w:val="1136"/>
        </w:trPr>
        <w:tc>
          <w:tcPr>
            <w:tcW w:w="1223" w:type="dxa"/>
            <w:tcBorders>
              <w:top w:val="single" w:sz="4" w:space="0" w:color="auto"/>
              <w:left w:val="single" w:sz="4" w:space="0" w:color="auto"/>
              <w:bottom w:val="single" w:sz="4" w:space="0" w:color="auto"/>
              <w:right w:val="single" w:sz="4" w:space="0" w:color="auto"/>
              <w:tl2br w:val="single" w:sz="4" w:space="0" w:color="auto"/>
            </w:tcBorders>
            <w:noWrap/>
            <w:vAlign w:val="center"/>
          </w:tcPr>
          <w:p>
            <w:pPr>
              <w:spacing w:after="0"/>
              <w:ind w:firstLineChars="200" w:firstLine="480"/>
              <w:rPr>
                <w:rFonts w:ascii="CESI仿宋-GB2312" w:eastAsia="CESI仿宋-GB2312" w:cs="Times New Roman"/>
                <w:sz w:val="24"/>
                <w:szCs w:val="21"/>
              </w:rPr>
            </w:pPr>
            <w:r>
              <w:rPr>
                <w:rFonts w:ascii="CESI仿宋-GB2312" w:eastAsia="CESI仿宋-GB2312" w:cs="Times New Roman"/>
                <w:sz w:val="24"/>
                <w:szCs w:val="21"/>
              </w:rPr>
              <w:t>灾情</w:t>
            </w:r>
          </w:p>
          <w:p>
            <w:pPr>
              <w:spacing w:after="0"/>
              <w:jc w:val="both"/>
              <w:rPr>
                <w:rFonts w:ascii="CESI仿宋-GB2312" w:eastAsia="CESI仿宋-GB2312" w:cs="Times New Roman"/>
                <w:sz w:val="24"/>
                <w:szCs w:val="21"/>
              </w:rPr>
            </w:pPr>
            <w:r>
              <w:rPr>
                <w:rFonts w:ascii="CESI仿宋-GB2312" w:eastAsia="CESI仿宋-GB2312" w:cs="Times New Roman"/>
                <w:sz w:val="24"/>
                <w:szCs w:val="21"/>
              </w:rPr>
              <w:t>年度</w:t>
            </w:r>
          </w:p>
        </w:tc>
        <w:tc>
          <w:tcPr>
            <w:tcW w:w="1050"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灾害</w:t>
            </w:r>
          </w:p>
          <w:p>
            <w:pPr>
              <w:spacing w:after="0"/>
              <w:rPr>
                <w:rFonts w:ascii="CESI仿宋-GB2312" w:eastAsia="CESI仿宋-GB2312" w:cs="Times New Roman"/>
                <w:sz w:val="24"/>
                <w:szCs w:val="21"/>
              </w:rPr>
            </w:pPr>
            <w:r>
              <w:rPr>
                <w:rFonts w:ascii="CESI仿宋-GB2312" w:eastAsia="CESI仿宋-GB2312" w:cs="Times New Roman"/>
                <w:sz w:val="24"/>
                <w:szCs w:val="21"/>
              </w:rPr>
              <w:t>数量（起）</w:t>
            </w:r>
          </w:p>
        </w:tc>
        <w:tc>
          <w:tcPr>
            <w:tcW w:w="1171"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死亡</w:t>
            </w:r>
          </w:p>
          <w:p>
            <w:pPr>
              <w:spacing w:after="0"/>
              <w:rPr>
                <w:rFonts w:ascii="CESI仿宋-GB2312" w:eastAsia="CESI仿宋-GB2312" w:cs="Times New Roman"/>
                <w:sz w:val="24"/>
                <w:szCs w:val="21"/>
              </w:rPr>
            </w:pPr>
            <w:r>
              <w:rPr>
                <w:rFonts w:ascii="CESI仿宋-GB2312" w:eastAsia="CESI仿宋-GB2312" w:cs="Times New Roman"/>
                <w:sz w:val="24"/>
                <w:szCs w:val="21"/>
              </w:rPr>
              <w:t>人数（人）</w:t>
            </w:r>
          </w:p>
        </w:tc>
        <w:tc>
          <w:tcPr>
            <w:tcW w:w="1138"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直接经济损失</w:t>
            </w:r>
          </w:p>
          <w:p>
            <w:pPr>
              <w:spacing w:after="0"/>
              <w:rPr>
                <w:rFonts w:ascii="CESI仿宋-GB2312" w:eastAsia="CESI仿宋-GB2312" w:cs="Times New Roman"/>
                <w:sz w:val="24"/>
                <w:szCs w:val="21"/>
              </w:rPr>
            </w:pPr>
            <w:r>
              <w:rPr>
                <w:rFonts w:ascii="CESI仿宋-GB2312" w:eastAsia="CESI仿宋-GB2312" w:cs="Times New Roman"/>
                <w:sz w:val="24"/>
                <w:szCs w:val="21"/>
              </w:rPr>
              <w:t>(万元)</w:t>
            </w:r>
          </w:p>
        </w:tc>
        <w:tc>
          <w:tcPr>
            <w:tcW w:w="816"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灾害</w:t>
            </w:r>
          </w:p>
          <w:p>
            <w:pPr>
              <w:spacing w:after="0"/>
              <w:rPr>
                <w:rFonts w:ascii="CESI仿宋-GB2312" w:eastAsia="CESI仿宋-GB2312" w:cs="Times New Roman"/>
                <w:sz w:val="24"/>
                <w:szCs w:val="21"/>
              </w:rPr>
            </w:pPr>
            <w:r>
              <w:rPr>
                <w:rFonts w:ascii="CESI仿宋-GB2312" w:eastAsia="CESI仿宋-GB2312" w:cs="Times New Roman"/>
                <w:sz w:val="24"/>
                <w:szCs w:val="21"/>
              </w:rPr>
              <w:t>规模</w:t>
            </w:r>
          </w:p>
        </w:tc>
        <w:tc>
          <w:tcPr>
            <w:tcW w:w="2919"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分布范围</w:t>
            </w:r>
          </w:p>
        </w:tc>
      </w:tr>
      <w:tr>
        <w:trPr>
          <w:trHeight w:val="757"/>
        </w:trPr>
        <w:tc>
          <w:tcPr>
            <w:tcW w:w="1223"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202</w:t>
            </w:r>
            <w:r>
              <w:rPr>
                <w:rFonts w:ascii="CESI仿宋-GB2312" w:eastAsia="CESI仿宋-GB2312" w:cs="Times New Roman" w:hint="eastAsia"/>
                <w:sz w:val="24"/>
                <w:szCs w:val="21"/>
              </w:rPr>
              <w:t>4</w:t>
            </w:r>
            <w:r>
              <w:rPr>
                <w:rFonts w:ascii="CESI仿宋-GB2312" w:eastAsia="CESI仿宋-GB2312" w:cs="Times New Roman"/>
                <w:sz w:val="24"/>
                <w:szCs w:val="21"/>
              </w:rPr>
              <w:t>年</w:t>
            </w:r>
          </w:p>
        </w:tc>
        <w:tc>
          <w:tcPr>
            <w:tcW w:w="1050"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219</w:t>
            </w:r>
          </w:p>
        </w:tc>
        <w:tc>
          <w:tcPr>
            <w:tcW w:w="1171"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0</w:t>
            </w:r>
          </w:p>
        </w:tc>
        <w:tc>
          <w:tcPr>
            <w:tcW w:w="1138"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1033.84</w:t>
            </w:r>
          </w:p>
        </w:tc>
        <w:tc>
          <w:tcPr>
            <w:tcW w:w="816"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小型</w:t>
            </w:r>
          </w:p>
          <w:p>
            <w:pPr>
              <w:spacing w:after="0"/>
              <w:rPr>
                <w:rFonts w:ascii="CESI仿宋-GB2312" w:eastAsia="CESI仿宋-GB2312" w:cs="Times New Roman"/>
                <w:sz w:val="24"/>
                <w:szCs w:val="21"/>
              </w:rPr>
            </w:pPr>
            <w:r>
              <w:rPr>
                <w:rFonts w:ascii="CESI仿宋-GB2312" w:eastAsia="CESI仿宋-GB2312" w:cs="Times New Roman" w:hint="eastAsia"/>
                <w:sz w:val="24"/>
                <w:szCs w:val="21"/>
              </w:rPr>
              <w:t>为主</w:t>
            </w:r>
          </w:p>
        </w:tc>
        <w:tc>
          <w:tcPr>
            <w:tcW w:w="2919" w:type="dxa"/>
            <w:tcBorders>
              <w:top w:val="single" w:sz="4" w:space="0" w:color="auto"/>
              <w:left w:val="single" w:sz="4" w:space="0" w:color="auto"/>
              <w:bottom w:val="single" w:sz="4" w:space="0" w:color="auto"/>
              <w:right w:val="single" w:sz="4" w:space="0" w:color="auto"/>
            </w:tcBorders>
            <w:noWrap/>
            <w:vAlign w:val="center"/>
          </w:tcPr>
          <w:p>
            <w:pPr>
              <w:spacing w:after="0"/>
              <w:jc w:val="both"/>
              <w:rPr>
                <w:rFonts w:ascii="CESI仿宋-GB2312" w:eastAsia="CESI仿宋-GB2312" w:cs="Times New Roman"/>
                <w:sz w:val="24"/>
                <w:szCs w:val="21"/>
              </w:rPr>
            </w:pPr>
            <w:r>
              <w:rPr>
                <w:rFonts w:ascii="CESI仿宋-GB2312" w:eastAsia="CESI仿宋-GB2312" w:cs="Times New Roman"/>
                <w:sz w:val="24"/>
                <w:szCs w:val="21"/>
              </w:rPr>
              <w:t>白山、通化、延边、吉林、长白山、</w:t>
            </w:r>
            <w:r>
              <w:rPr>
                <w:rFonts w:ascii="CESI仿宋-GB2312" w:eastAsia="CESI仿宋-GB2312" w:cs="Times New Roman" w:hint="eastAsia"/>
                <w:sz w:val="24"/>
                <w:szCs w:val="21"/>
              </w:rPr>
              <w:t>四平</w:t>
            </w:r>
            <w:r>
              <w:rPr>
                <w:rFonts w:ascii="CESI仿宋-GB2312" w:eastAsia="CESI仿宋-GB2312" w:cs="Times New Roman"/>
                <w:sz w:val="24"/>
                <w:szCs w:val="21"/>
              </w:rPr>
              <w:t>、</w:t>
            </w:r>
            <w:r>
              <w:rPr>
                <w:rFonts w:ascii="CESI仿宋-GB2312" w:eastAsia="CESI仿宋-GB2312" w:cs="Times New Roman" w:hint="eastAsia"/>
                <w:sz w:val="24"/>
                <w:szCs w:val="21"/>
              </w:rPr>
              <w:t>长春</w:t>
            </w:r>
          </w:p>
        </w:tc>
      </w:tr>
      <w:tr>
        <w:trPr>
          <w:trHeight w:val="638"/>
        </w:trPr>
        <w:tc>
          <w:tcPr>
            <w:tcW w:w="1223"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202</w:t>
            </w:r>
            <w:r>
              <w:rPr>
                <w:rFonts w:ascii="CESI仿宋-GB2312" w:eastAsia="CESI仿宋-GB2312" w:cs="Times New Roman" w:hint="eastAsia"/>
                <w:sz w:val="24"/>
                <w:szCs w:val="21"/>
              </w:rPr>
              <w:t>3</w:t>
            </w:r>
            <w:r>
              <w:rPr>
                <w:rFonts w:ascii="CESI仿宋-GB2312" w:eastAsia="CESI仿宋-GB2312" w:cs="Times New Roman"/>
                <w:sz w:val="24"/>
                <w:szCs w:val="21"/>
              </w:rPr>
              <w:t>年</w:t>
            </w:r>
          </w:p>
        </w:tc>
        <w:tc>
          <w:tcPr>
            <w:tcW w:w="1050"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22</w:t>
            </w:r>
          </w:p>
        </w:tc>
        <w:tc>
          <w:tcPr>
            <w:tcW w:w="1171"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0</w:t>
            </w:r>
          </w:p>
        </w:tc>
        <w:tc>
          <w:tcPr>
            <w:tcW w:w="1138"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108.15</w:t>
            </w:r>
          </w:p>
        </w:tc>
        <w:tc>
          <w:tcPr>
            <w:tcW w:w="816"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小型</w:t>
            </w:r>
          </w:p>
        </w:tc>
        <w:tc>
          <w:tcPr>
            <w:tcW w:w="2919" w:type="dxa"/>
            <w:tcBorders>
              <w:top w:val="single" w:sz="4" w:space="0" w:color="auto"/>
              <w:left w:val="single" w:sz="4" w:space="0" w:color="auto"/>
              <w:bottom w:val="single" w:sz="4" w:space="0" w:color="auto"/>
              <w:right w:val="single" w:sz="4" w:space="0" w:color="auto"/>
            </w:tcBorders>
            <w:noWrap/>
            <w:vAlign w:val="center"/>
          </w:tcPr>
          <w:p>
            <w:pPr>
              <w:spacing w:after="0"/>
              <w:jc w:val="both"/>
              <w:rPr>
                <w:rFonts w:ascii="CESI仿宋-GB2312" w:eastAsia="CESI仿宋-GB2312" w:cs="Times New Roman"/>
                <w:sz w:val="24"/>
                <w:szCs w:val="21"/>
              </w:rPr>
            </w:pPr>
            <w:r>
              <w:rPr>
                <w:rFonts w:ascii="CESI仿宋-GB2312" w:eastAsia="CESI仿宋-GB2312" w:cs="Times New Roman"/>
                <w:sz w:val="24"/>
                <w:szCs w:val="21"/>
              </w:rPr>
              <w:t>白山、延边、通化、吉林、长白山</w:t>
            </w:r>
          </w:p>
        </w:tc>
      </w:tr>
      <w:tr>
        <w:trPr>
          <w:trHeight w:val="757"/>
        </w:trPr>
        <w:tc>
          <w:tcPr>
            <w:tcW w:w="1223"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201</w:t>
            </w:r>
            <w:r>
              <w:rPr>
                <w:rFonts w:ascii="CESI仿宋-GB2312" w:eastAsia="CESI仿宋-GB2312" w:cs="Times New Roman" w:hint="eastAsia"/>
                <w:sz w:val="24"/>
                <w:szCs w:val="21"/>
              </w:rPr>
              <w:t>5</w:t>
            </w:r>
            <w:r>
              <w:rPr>
                <w:rFonts w:ascii="CESI仿宋-GB2312" w:eastAsia="CESI仿宋-GB2312" w:cs="Times New Roman"/>
                <w:sz w:val="24"/>
                <w:szCs w:val="21"/>
              </w:rPr>
              <w:t>-202</w:t>
            </w:r>
            <w:r>
              <w:rPr>
                <w:rFonts w:ascii="CESI仿宋-GB2312" w:eastAsia="CESI仿宋-GB2312" w:cs="Times New Roman" w:hint="eastAsia"/>
                <w:sz w:val="24"/>
                <w:szCs w:val="21"/>
              </w:rPr>
              <w:t>4</w:t>
            </w:r>
            <w:r>
              <w:rPr>
                <w:rFonts w:ascii="CESI仿宋-GB2312" w:eastAsia="CESI仿宋-GB2312" w:cs="Times New Roman"/>
                <w:sz w:val="24"/>
                <w:szCs w:val="21"/>
              </w:rPr>
              <w:t>年平均</w:t>
            </w:r>
          </w:p>
        </w:tc>
        <w:tc>
          <w:tcPr>
            <w:tcW w:w="1050"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49.6</w:t>
            </w:r>
          </w:p>
        </w:tc>
        <w:tc>
          <w:tcPr>
            <w:tcW w:w="1171"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0.10</w:t>
            </w:r>
          </w:p>
        </w:tc>
        <w:tc>
          <w:tcPr>
            <w:tcW w:w="1138"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hint="eastAsia"/>
                <w:sz w:val="24"/>
                <w:szCs w:val="21"/>
              </w:rPr>
              <w:t>602.53</w:t>
            </w:r>
          </w:p>
        </w:tc>
        <w:tc>
          <w:tcPr>
            <w:tcW w:w="816" w:type="dxa"/>
            <w:tcBorders>
              <w:top w:val="single" w:sz="4" w:space="0" w:color="auto"/>
              <w:left w:val="single" w:sz="4" w:space="0" w:color="auto"/>
              <w:bottom w:val="single" w:sz="4" w:space="0" w:color="auto"/>
              <w:right w:val="single" w:sz="4" w:space="0" w:color="auto"/>
            </w:tcBorders>
            <w:noWrap/>
            <w:vAlign w:val="center"/>
          </w:tcPr>
          <w:p>
            <w:pPr>
              <w:spacing w:after="0"/>
              <w:rPr>
                <w:rFonts w:ascii="CESI仿宋-GB2312" w:eastAsia="CESI仿宋-GB2312" w:cs="Times New Roman"/>
                <w:sz w:val="24"/>
                <w:szCs w:val="21"/>
              </w:rPr>
            </w:pPr>
            <w:r>
              <w:rPr>
                <w:rFonts w:ascii="CESI仿宋-GB2312" w:eastAsia="CESI仿宋-GB2312" w:cs="Times New Roman"/>
                <w:sz w:val="24"/>
                <w:szCs w:val="21"/>
              </w:rPr>
              <w:t>小型</w:t>
            </w:r>
          </w:p>
          <w:p>
            <w:pPr>
              <w:spacing w:after="0"/>
              <w:rPr>
                <w:rFonts w:ascii="CESI仿宋-GB2312" w:eastAsia="CESI仿宋-GB2312" w:cs="Times New Roman"/>
                <w:sz w:val="24"/>
                <w:szCs w:val="21"/>
              </w:rPr>
            </w:pPr>
            <w:r>
              <w:rPr>
                <w:rFonts w:ascii="CESI仿宋-GB2312" w:eastAsia="CESI仿宋-GB2312" w:cs="Times New Roman"/>
                <w:sz w:val="24"/>
                <w:szCs w:val="21"/>
              </w:rPr>
              <w:t>为主</w:t>
            </w:r>
          </w:p>
        </w:tc>
        <w:tc>
          <w:tcPr>
            <w:tcW w:w="2919" w:type="dxa"/>
            <w:tcBorders>
              <w:top w:val="single" w:sz="4" w:space="0" w:color="auto"/>
              <w:left w:val="single" w:sz="4" w:space="0" w:color="auto"/>
              <w:bottom w:val="single" w:sz="4" w:space="0" w:color="auto"/>
              <w:right w:val="single" w:sz="4" w:space="0" w:color="auto"/>
            </w:tcBorders>
            <w:noWrap/>
            <w:vAlign w:val="center"/>
          </w:tcPr>
          <w:p>
            <w:pPr>
              <w:spacing w:after="0"/>
              <w:jc w:val="both"/>
              <w:rPr>
                <w:rFonts w:ascii="CESI仿宋-GB2312" w:eastAsia="CESI仿宋-GB2312" w:cs="Times New Roman"/>
                <w:sz w:val="24"/>
                <w:szCs w:val="21"/>
              </w:rPr>
            </w:pPr>
            <w:r>
              <w:rPr>
                <w:rFonts w:ascii="CESI仿宋-GB2312" w:eastAsia="CESI仿宋-GB2312" w:cs="Times New Roman"/>
                <w:sz w:val="24"/>
                <w:szCs w:val="21"/>
              </w:rPr>
              <w:t>白山、延边、通化、吉林、</w:t>
            </w:r>
            <w:r>
              <w:rPr>
                <w:rFonts w:ascii="CESI仿宋-GB2312" w:eastAsia="CESI仿宋-GB2312" w:cs="Times New Roman" w:hint="eastAsia"/>
                <w:sz w:val="24"/>
                <w:szCs w:val="21"/>
              </w:rPr>
              <w:t>长白山</w:t>
            </w:r>
            <w:r>
              <w:rPr>
                <w:rFonts w:ascii="CESI仿宋-GB2312" w:eastAsia="CESI仿宋-GB2312" w:cs="Times New Roman"/>
                <w:sz w:val="24"/>
                <w:szCs w:val="21"/>
              </w:rPr>
              <w:t>、四平、</w:t>
            </w:r>
            <w:r>
              <w:rPr>
                <w:rFonts w:ascii="CESI仿宋-GB2312" w:eastAsia="CESI仿宋-GB2312" w:cs="Times New Roman" w:hint="eastAsia"/>
                <w:sz w:val="24"/>
                <w:szCs w:val="21"/>
              </w:rPr>
              <w:t>长春</w:t>
            </w:r>
          </w:p>
        </w:tc>
      </w:tr>
    </w:tbl>
    <w:p>
      <w:pPr>
        <w:spacing w:after="0" w:line="560" w:lineRule="exact"/>
        <w:rPr>
          <w:rFonts w:ascii="方正楷体_GB2312" w:eastAsia="方正楷体_GB2312" w:cs="Times New Roman" w:hAnsi="Tahoma"/>
          <w:kern w:val="2"/>
          <w:sz w:val="28"/>
          <w:szCs w:val="28"/>
        </w:rPr>
      </w:pPr>
      <w:r>
        <w:rPr>
          <w:rFonts w:ascii="方正楷体_GB2312" w:eastAsia="方正楷体_GB2312" w:cs="Times New Roman" w:hAnsi="Tahoma" w:hint="eastAsia"/>
          <w:kern w:val="2"/>
          <w:sz w:val="28"/>
          <w:szCs w:val="28"/>
        </w:rPr>
        <w:t>表1-2     2024年地质灾害预测结果与实况对比表</w:t>
      </w:r>
    </w:p>
    <w:tbl>
      <w:tblPr>
        <w:jc w:val="left"/>
        <w:tblInd w:w="108" w:type="dxa"/>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08"/>
        <w:gridCol w:w="2842"/>
        <w:gridCol w:w="2946"/>
        <w:gridCol w:w="1222"/>
      </w:tblGrid>
      <w:tr>
        <w:trPr>
          <w:trHeight w:val="511"/>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类  别</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预测结果</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灾情实况</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预测效果</w:t>
            </w:r>
          </w:p>
        </w:tc>
      </w:tr>
      <w:tr>
        <w:trPr>
          <w:trHeight w:val="508"/>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灾害数量</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灾害</w:t>
            </w:r>
            <w:r>
              <w:rPr>
                <w:rFonts w:ascii="CESI仿宋-GB2312" w:eastAsia="CESI仿宋-GB2312" w:cs="Times New Roman"/>
                <w:sz w:val="24"/>
                <w:szCs w:val="21"/>
              </w:rPr>
              <w:t>数量</w:t>
            </w:r>
            <w:r>
              <w:rPr>
                <w:rFonts w:ascii="CESI仿宋-GB2312" w:eastAsia="CESI仿宋-GB2312" w:cs="Times New Roman" w:hint="eastAsia"/>
                <w:sz w:val="24"/>
                <w:szCs w:val="21"/>
              </w:rPr>
              <w:t>与</w:t>
            </w:r>
            <w:r>
              <w:rPr>
                <w:rFonts w:ascii="CESI仿宋-GB2312" w:eastAsia="CESI仿宋-GB2312" w:cs="Times New Roman"/>
                <w:sz w:val="24"/>
                <w:szCs w:val="21"/>
              </w:rPr>
              <w:t>常年</w:t>
            </w:r>
            <w:r>
              <w:rPr>
                <w:rFonts w:ascii="CESI仿宋-GB2312" w:eastAsia="CESI仿宋-GB2312" w:cs="Times New Roman" w:hint="eastAsia"/>
                <w:sz w:val="24"/>
                <w:szCs w:val="21"/>
              </w:rPr>
              <w:t>相近</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灾害</w:t>
            </w:r>
            <w:r>
              <w:rPr>
                <w:rFonts w:ascii="CESI仿宋-GB2312" w:eastAsia="CESI仿宋-GB2312" w:cs="Times New Roman"/>
                <w:sz w:val="24"/>
                <w:szCs w:val="21"/>
              </w:rPr>
              <w:t>数量</w:t>
            </w:r>
            <w:r>
              <w:rPr>
                <w:rFonts w:ascii="CESI仿宋-GB2312" w:eastAsia="CESI仿宋-GB2312" w:cs="Cambria" w:hint="eastAsia"/>
                <w:sz w:val="24"/>
                <w:szCs w:val="21"/>
              </w:rPr>
              <w:t>多</w:t>
            </w:r>
            <w:r>
              <w:rPr>
                <w:rFonts w:ascii="CESI仿宋-GB2312" w:eastAsia="CESI仿宋-GB2312" w:cs="Times New Roman"/>
                <w:sz w:val="24"/>
                <w:szCs w:val="21"/>
              </w:rPr>
              <w:t>于常年</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有偏差</w:t>
            </w:r>
          </w:p>
        </w:tc>
      </w:tr>
      <w:tr>
        <w:trPr>
          <w:trHeight w:val="508"/>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灾情损失</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灾情等级与常年相近</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损失</w:t>
            </w:r>
            <w:r>
              <w:rPr>
                <w:rFonts w:ascii="CESI仿宋-GB2312" w:eastAsia="CESI仿宋-GB2312" w:cs="Cambria" w:hint="eastAsia"/>
                <w:sz w:val="24"/>
                <w:szCs w:val="21"/>
              </w:rPr>
              <w:t>大</w:t>
            </w:r>
            <w:r>
              <w:rPr>
                <w:rFonts w:ascii="Cambria" w:eastAsia="CESI仿宋-GB2312" w:cs="Cambria" w:hAnsi="Cambria" w:hint="eastAsia"/>
                <w:sz w:val="24"/>
                <w:szCs w:val="21"/>
              </w:rPr>
              <w:t>于</w:t>
            </w:r>
            <w:r>
              <w:rPr>
                <w:rFonts w:ascii="CESI仿宋-GB2312" w:eastAsia="CESI仿宋-GB2312" w:cs="Times New Roman"/>
                <w:sz w:val="24"/>
                <w:szCs w:val="21"/>
              </w:rPr>
              <w:t>多年平均</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有偏差</w:t>
            </w:r>
          </w:p>
        </w:tc>
      </w:tr>
      <w:tr>
        <w:trPr>
          <w:trHeight w:val="508"/>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重点地区</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白山、通化、延边</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白山、通化</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效果好</w:t>
            </w:r>
          </w:p>
        </w:tc>
      </w:tr>
      <w:tr>
        <w:trPr>
          <w:trHeight w:val="552"/>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重点时段</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主汛期</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主汛期灾害占全年</w:t>
            </w:r>
            <w:r>
              <w:rPr>
                <w:rFonts w:ascii="CESI仿宋-GB2312" w:eastAsia="CESI仿宋-GB2312" w:cs="Times New Roman" w:hint="eastAsia"/>
                <w:sz w:val="24"/>
                <w:szCs w:val="21"/>
              </w:rPr>
              <w:t>99</w:t>
            </w:r>
            <w:r>
              <w:rPr>
                <w:rFonts w:ascii="CESI仿宋-GB2312" w:eastAsia="CESI仿宋-GB2312" w:cs="Times New Roman"/>
                <w:sz w:val="24"/>
                <w:szCs w:val="21"/>
              </w:rPr>
              <w:t>%</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效果好</w:t>
            </w:r>
          </w:p>
        </w:tc>
      </w:tr>
      <w:tr>
        <w:trPr>
          <w:trHeight w:val="508"/>
        </w:trPr>
        <w:tc>
          <w:tcPr>
            <w:tcW w:w="1308"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主要类型</w:t>
            </w:r>
          </w:p>
        </w:tc>
        <w:tc>
          <w:tcPr>
            <w:tcW w:w="284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崩塌、泥石流</w:t>
            </w:r>
          </w:p>
        </w:tc>
        <w:tc>
          <w:tcPr>
            <w:tcW w:w="294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崩塌占9</w:t>
            </w:r>
            <w:r>
              <w:rPr>
                <w:rFonts w:ascii="CESI仿宋-GB2312" w:eastAsia="CESI仿宋-GB2312" w:cs="Times New Roman" w:hint="eastAsia"/>
                <w:sz w:val="24"/>
                <w:szCs w:val="21"/>
              </w:rPr>
              <w:t>4.98</w:t>
            </w:r>
            <w:r>
              <w:rPr>
                <w:rFonts w:ascii="CESI仿宋-GB2312" w:eastAsia="CESI仿宋-GB2312" w:cs="Times New Roman"/>
                <w:sz w:val="24"/>
                <w:szCs w:val="21"/>
              </w:rPr>
              <w:t>%</w:t>
            </w:r>
          </w:p>
        </w:tc>
        <w:tc>
          <w:tcPr>
            <w:tcW w:w="1222"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效果好</w:t>
            </w:r>
          </w:p>
        </w:tc>
      </w:tr>
    </w:tbl>
    <w:p>
      <w:pPr>
        <w:pStyle w:val="1"/>
        <w:spacing w:before="0" w:line="560" w:lineRule="exact"/>
        <w:ind w:firstLineChars="200" w:firstLine="640"/>
        <w:rPr>
          <w:rFonts w:ascii="方正黑体_GBK" w:eastAsia="方正黑体_GBK" w:hAnsi="Tahoma"/>
          <w:b w:val="0"/>
          <w:bCs w:val="0"/>
        </w:rPr>
      </w:pPr>
      <w:bookmarkStart w:id="6" w:name="_Toc132112209"/>
      <w:r>
        <w:rPr>
          <w:rFonts w:ascii="方正黑体_GBK" w:eastAsia="方正黑体_GBK" w:hAnsi="Tahoma" w:hint="eastAsia"/>
          <w:b w:val="0"/>
          <w:bCs w:val="0"/>
        </w:rPr>
        <w:t>二、 2025年地质灾害趋势分析</w:t>
      </w:r>
      <w:bookmarkEnd w:id="6"/>
    </w:p>
    <w:p>
      <w:pPr>
        <w:pStyle w:val="30"/>
        <w:spacing w:line="560" w:lineRule="exact"/>
      </w:pPr>
      <w:r>
        <w:rPr>
          <w:rFonts w:ascii="方正仿宋_GB2312" w:eastAsia="方正仿宋_GB2312" w:hint="eastAsia"/>
        </w:rPr>
        <w:t>根据以往地质灾害趋势预测情况，结合2024年预测效果评价，采用统计分析、时空比对、叠加分析等方法，对2025年地质灾害趋势分析预测。</w:t>
      </w:r>
    </w:p>
    <w:p>
      <w:pPr>
        <w:spacing w:after="0" w:line="560" w:lineRule="exact"/>
        <w:ind w:firstLineChars="150" w:firstLine="480"/>
        <w:jc w:val="both"/>
      </w:pPr>
      <w:bookmarkStart w:id="7" w:name="_Toc132112210"/>
      <w:r>
        <w:rPr>
          <w:rFonts w:hAnsi="Cambria"/>
        </w:rPr>
        <w:t>（一）统计分析法</w:t>
      </w:r>
      <w:bookmarkEnd w:id="7"/>
    </w:p>
    <w:p>
      <w:pPr>
        <w:pStyle w:val="30"/>
        <w:spacing w:line="560" w:lineRule="exact"/>
      </w:pPr>
      <w:r>
        <w:rPr>
          <w:rFonts w:ascii="方正仿宋_GB2312" w:eastAsia="方正仿宋_GB2312" w:hint="eastAsia"/>
        </w:rPr>
        <w:t>对近10年地质灾害灾情的类型、规模进行统计，结合当前全省地质灾害隐患情况，通过数据线性分析，进行地质灾害趋势预测。</w:t>
      </w:r>
    </w:p>
    <w:p>
      <w:pPr>
        <w:pStyle w:val="30"/>
        <w:spacing w:line="560" w:lineRule="exact"/>
      </w:pPr>
      <w:r>
        <w:rPr>
          <w:rFonts w:hint="eastAsia"/>
        </w:rPr>
        <w:t>1.地质灾害类型分析</w:t>
      </w:r>
    </w:p>
    <w:p>
      <w:pPr>
        <w:pStyle w:val="30"/>
        <w:spacing w:line="560" w:lineRule="exact"/>
        <w:rPr>
          <w:rFonts w:ascii="方正仿宋_GB2312" w:eastAsia="方正仿宋_GB2312"/>
        </w:rPr>
      </w:pPr>
      <w:r>
        <w:rPr>
          <w:rFonts w:ascii="方正仿宋_GB2312" w:eastAsia="方正仿宋_GB2312" w:hint="eastAsia"/>
        </w:rPr>
        <w:t>灾情类型分析：近10年，全省共发生各类地质灾害496起，平均49.6起/年。其中，崩塌297起，占比59.9%；滑坡34起，占比6.8%；泥石流158起，占比31.9%，地面塌陷7起，占比1.4%。同时，根据灾情核查结果，我省的多数滑坡灾害伴生崩塌（见图2-</w:t>
      </w:r>
      <w:r>
        <w:rPr>
          <w:rFonts w:ascii="方正仿宋_GB2312" w:eastAsia="方正仿宋_GB2312"/>
        </w:rPr>
        <w:t>1、</w:t>
      </w:r>
      <w:r>
        <w:rPr>
          <w:rFonts w:ascii="方正仿宋_GB2312" w:eastAsia="方正仿宋_GB2312" w:hint="eastAsia"/>
        </w:rPr>
        <w:t>图2-2和表2-1）。</w:t>
      </w:r>
    </w:p>
    <w:p>
      <w:pPr>
        <w:spacing w:after="0" w:line="560" w:lineRule="exact"/>
        <w:jc w:val="both"/>
        <w:rPr>
          <w:rFonts w:ascii="方正楷体_GB2312" w:eastAsia="方正楷体_GB2312" w:cs="Times New Roman"/>
          <w:kern w:val="2"/>
          <w:sz w:val="28"/>
          <w:szCs w:val="28"/>
        </w:rPr>
      </w:pPr>
      <w:r>
        <w:drawing>
          <wp:anchor distT="0" distB="0" distL="114935" distR="114935" simplePos="0" relativeHeight="19" behindDoc="0" locked="0" layoutInCell="1" hidden="0" allowOverlap="1">
            <wp:simplePos x="0" y="0"/>
            <wp:positionH relativeFrom="column">
              <wp:posOffset>440690</wp:posOffset>
            </wp:positionH>
            <wp:positionV relativeFrom="paragraph">
              <wp:posOffset>18415</wp:posOffset>
            </wp:positionV>
            <wp:extent cx="4382135" cy="2781300"/>
            <wp:effectExtent l="0" t="0" r="0" b="0"/>
            <wp:wrapTight wrapText="bothSides">
              <wp:wrapPolygon>
                <wp:start x="-3" y="-29"/>
                <wp:lineTo x="-3" y="21570"/>
                <wp:lineTo x="21593" y="21570"/>
                <wp:lineTo x="21593" y="-29"/>
                <wp:lineTo x="-3" y="-29"/>
              </wp:wrapPolygon>
            </wp:wrapTight>
            <wp:docPr id="2" name="图表 16"/>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jc w:val="both"/>
        <w:rPr>
          <w:rFonts w:ascii="方正楷体_GB2312" w:eastAsia="方正楷体_GB2312" w:cs="Times New Roman"/>
          <w:kern w:val="2"/>
          <w:sz w:val="28"/>
          <w:szCs w:val="28"/>
        </w:rPr>
      </w:pPr>
    </w:p>
    <w:p>
      <w:pPr>
        <w:spacing w:after="0" w:line="560" w:lineRule="exact"/>
        <w:rPr>
          <w:rFonts w:ascii="方正楷体_GB2312" w:eastAsia="方正楷体_GB2312" w:cs="Times New Roman" w:hAnsi="Tahoma"/>
          <w:kern w:val="2"/>
          <w:sz w:val="28"/>
          <w:szCs w:val="28"/>
        </w:rPr>
      </w:pPr>
      <w:r>
        <w:rPr>
          <w:rFonts w:ascii="方正楷体_GB2312" w:eastAsia="方正楷体_GB2312" w:cs="Times New Roman" w:hAnsi="Tahoma" w:hint="eastAsia"/>
          <w:kern w:val="2"/>
          <w:sz w:val="28"/>
          <w:szCs w:val="28"/>
        </w:rPr>
        <w:t>图2-</w:t>
      </w:r>
      <w:r>
        <w:rPr>
          <w:rFonts w:ascii="方正楷体_GB2312" w:eastAsia="方正楷体_GB2312" w:cs="Times New Roman" w:hAnsi="Tahoma"/>
          <w:kern w:val="2"/>
          <w:sz w:val="28"/>
          <w:szCs w:val="28"/>
        </w:rPr>
        <w:t xml:space="preserve">1  </w:t>
      </w:r>
      <w:r>
        <w:rPr>
          <w:rFonts w:ascii="方正楷体_GB2312" w:eastAsia="方正楷体_GB2312" w:cs="Times New Roman" w:hAnsi="Tahoma" w:hint="eastAsia"/>
          <w:kern w:val="2"/>
          <w:sz w:val="28"/>
          <w:szCs w:val="28"/>
        </w:rPr>
        <w:t>2015-2024年地质灾害数量统计图</w:t>
      </w:r>
    </w:p>
    <w:p>
      <w:pPr>
        <w:spacing w:after="0" w:line="560" w:lineRule="exact"/>
        <w:ind w:firstLineChars="500" w:firstLine="1600"/>
        <w:jc w:val="both"/>
        <w:rPr>
          <w:rFonts w:ascii="方正楷体_GB2312" w:eastAsia="方正楷体_GB2312" w:cs="Times New Roman" w:hAnsi="Tahoma"/>
          <w:kern w:val="2"/>
          <w:sz w:val="28"/>
          <w:szCs w:val="28"/>
        </w:rPr>
      </w:pPr>
      <w:r>
        <w:drawing>
          <wp:anchor distT="0" distB="0" distL="114300" distR="114300" simplePos="0" relativeHeight="21" behindDoc="0" locked="0" layoutInCell="1" hidden="0" allowOverlap="1">
            <wp:simplePos x="0" y="0"/>
            <wp:positionH relativeFrom="column">
              <wp:posOffset>463550</wp:posOffset>
            </wp:positionH>
            <wp:positionV relativeFrom="paragraph">
              <wp:posOffset>226695</wp:posOffset>
            </wp:positionV>
            <wp:extent cx="4361180" cy="2726690"/>
            <wp:effectExtent l="0" t="0" r="0" b="0"/>
            <wp:wrapTight wrapText="bothSides">
              <wp:wrapPolygon>
                <wp:start x="-22" y="-60"/>
                <wp:lineTo x="-22" y="21594"/>
                <wp:lineTo x="21583" y="21594"/>
                <wp:lineTo x="21583" y="-60"/>
                <wp:lineTo x="-22" y="-60"/>
              </wp:wrapPolygon>
            </wp:wrapTight>
            <wp:docPr id="3" name="图表 13" descr="7b0a202020202263686172745265734964223a20223230343732303435220a7d0a"/>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方正楷体_GB2312" w:eastAsia="方正楷体_GB2312" w:cs="Times New Roman" w:hAnsi="Tahoma" w:hint="eastAsia"/>
          <w:kern w:val="2"/>
          <w:sz w:val="28"/>
          <w:szCs w:val="28"/>
        </w:rPr>
        <w:t>图2-2  2015-2024年地质灾害类型统计图</w:t>
      </w:r>
    </w:p>
    <w:p>
      <w:pPr>
        <w:spacing w:after="0" w:line="560" w:lineRule="exact"/>
        <w:ind w:firstLineChars="200" w:firstLine="640"/>
        <w:jc w:val="both"/>
        <w:rPr>
          <w:rFonts w:ascii="方正仿宋_GB2312" w:eastAsia="方正仿宋_GB2312" w:cs="Times New Roman" w:hAnsi="仿宋"/>
        </w:rPr>
      </w:pPr>
      <w:r>
        <w:rPr>
          <w:rFonts w:ascii="方正仿宋_GB2312" w:eastAsia="方正仿宋_GB2312" w:cs="Times New Roman" w:hAnsi="仿宋" w:hint="eastAsia"/>
        </w:rPr>
        <w:t>隐患类型分析：依据最新地质灾害风险普查及隐患点认定核销结果，全省现有地质灾害隐患点5389处。其中，崩塌4169处，占比77.4%；泥石流791处，占比14.6%；滑坡206处，占比3.8%；地面塌陷203处，占比3.8%；地裂缝20处，占比0.4%。</w:t>
      </w:r>
    </w:p>
    <w:p>
      <w:pPr>
        <w:pStyle w:val="30"/>
        <w:spacing w:line="560" w:lineRule="exact"/>
        <w:jc w:val="center"/>
      </w:pPr>
      <w:r>
        <w:rPr>
          <w:rFonts w:hint="eastAsia"/>
        </w:rPr>
        <w:t>表2-1  2015-2024年地质灾害灾情一览表</w:t>
      </w:r>
    </w:p>
    <w:tbl>
      <w:tblPr>
        <w:jc w:val="left"/>
        <w:tblInd w:w="-3" w:type="dxa"/>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3"/>
        <w:gridCol w:w="576"/>
        <w:gridCol w:w="535"/>
        <w:gridCol w:w="576"/>
        <w:gridCol w:w="577"/>
        <w:gridCol w:w="564"/>
        <w:gridCol w:w="506"/>
        <w:gridCol w:w="509"/>
        <w:gridCol w:w="576"/>
        <w:gridCol w:w="514"/>
        <w:gridCol w:w="514"/>
        <w:gridCol w:w="504"/>
        <w:gridCol w:w="509"/>
        <w:gridCol w:w="571"/>
        <w:gridCol w:w="715"/>
        <w:gridCol w:w="10"/>
      </w:tblGrid>
      <w:tr>
        <w:trPr>
          <w:trHeight w:val="386"/>
        </w:trPr>
        <w:tc>
          <w:tcPr>
            <w:tcW w:w="697" w:type="dxa"/>
            <w:vMerge w:val="restart"/>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年度</w:t>
            </w:r>
          </w:p>
        </w:tc>
        <w:tc>
          <w:tcPr>
            <w:tcW w:w="2835" w:type="dxa"/>
            <w:gridSpan w:val="5"/>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灾害类型</w:t>
            </w:r>
          </w:p>
        </w:tc>
        <w:tc>
          <w:tcPr>
            <w:tcW w:w="4203" w:type="dxa"/>
            <w:gridSpan w:val="8"/>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灾害分布</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r>
      <w:tr>
        <w:trPr>
          <w:trHeight w:val="1854"/>
          <w:gridAfter w:val="1"/>
          <w:wAfter w:w="10" w:type="dxa"/>
        </w:trPr>
        <w:tc>
          <w:tcPr>
            <w:tcW w:w="697" w:type="dxa"/>
            <w:vMerge/>
            <w:tcBorders>
              <w:top w:val="single" w:sz="4" w:space="0" w:color="auto"/>
              <w:left w:val="single" w:sz="4" w:space="0" w:color="auto"/>
              <w:bottom w:val="single" w:sz="4" w:space="0" w:color="auto"/>
              <w:right w:val="single" w:sz="4" w:space="0" w:color="auto"/>
            </w:tcBorders>
            <w:noWrap/>
            <w:vAlign w:val="center"/>
          </w:tcP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崩塌</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滑坡</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泥石流</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地面塌陷</w:t>
            </w: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地裂缝</w:t>
            </w: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吉林</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辽源</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白山</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通化</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延边</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四平</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长春</w:t>
            </w: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长白山</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灾害总数</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2015</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11</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12</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21</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2016</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7</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8</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7</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15</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2017</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8</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49</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47</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10</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63</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2018</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6</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2019</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35</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8</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30</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8</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48</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2020</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28</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7</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15</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7</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35</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2021</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11</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7</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11</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2022</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44</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10</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33</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5</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11</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56</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2023</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21</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4</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5</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8</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22</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2024</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133</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11</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75</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4</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169</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41</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2</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w:t>
            </w: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219</w:t>
            </w:r>
          </w:p>
        </w:tc>
      </w:tr>
      <w:tr>
        <w:trPr>
          <w:trHeight w:hRule="exact" w:val="532"/>
          <w:gridAfter w:val="1"/>
          <w:wAfter w:w="10" w:type="dxa"/>
        </w:trPr>
        <w:tc>
          <w:tcPr>
            <w:tcW w:w="69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合计</w:t>
            </w:r>
          </w:p>
        </w:tc>
        <w:tc>
          <w:tcPr>
            <w:tcW w:w="583"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297</w:t>
            </w:r>
          </w:p>
        </w:tc>
        <w:tc>
          <w:tcPr>
            <w:tcW w:w="53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34</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158</w:t>
            </w:r>
          </w:p>
        </w:tc>
        <w:tc>
          <w:tcPr>
            <w:tcW w:w="577"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7</w:t>
            </w:r>
          </w:p>
        </w:tc>
        <w:tc>
          <w:tcPr>
            <w:tcW w:w="56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p>
        </w:tc>
        <w:tc>
          <w:tcPr>
            <w:tcW w:w="50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68</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sz w:val="24"/>
                <w:szCs w:val="21"/>
              </w:rPr>
              <w:t>35</w:t>
            </w:r>
          </w:p>
        </w:tc>
        <w:tc>
          <w:tcPr>
            <w:tcW w:w="576"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248</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78</w:t>
            </w:r>
          </w:p>
        </w:tc>
        <w:tc>
          <w:tcPr>
            <w:tcW w:w="51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49</w:t>
            </w:r>
          </w:p>
        </w:tc>
        <w:tc>
          <w:tcPr>
            <w:tcW w:w="504"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7</w:t>
            </w:r>
          </w:p>
        </w:tc>
        <w:tc>
          <w:tcPr>
            <w:tcW w:w="509"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4</w:t>
            </w:r>
          </w:p>
        </w:tc>
        <w:tc>
          <w:tcPr>
            <w:tcW w:w="571"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7</w:t>
            </w:r>
          </w:p>
        </w:tc>
        <w:tc>
          <w:tcPr>
            <w:tcW w:w="715" w:type="dxa"/>
            <w:tcBorders>
              <w:top w:val="single" w:sz="4" w:space="0" w:color="auto"/>
              <w:left w:val="single" w:sz="4" w:space="0" w:color="auto"/>
              <w:bottom w:val="single" w:sz="4" w:space="0" w:color="auto"/>
              <w:right w:val="single" w:sz="4" w:space="0" w:color="auto"/>
            </w:tcBorders>
            <w:noWrap/>
            <w:vAlign w:val="center"/>
          </w:tcPr>
          <w:p>
            <w:pPr>
              <w:spacing w:after="0" w:line="560" w:lineRule="exact"/>
              <w:rPr>
                <w:rFonts w:ascii="CESI仿宋-GB2312" w:eastAsia="CESI仿宋-GB2312" w:cs="Times New Roman"/>
                <w:sz w:val="24"/>
                <w:szCs w:val="21"/>
              </w:rPr>
            </w:pPr>
            <w:r>
              <w:rPr>
                <w:rFonts w:ascii="CESI仿宋-GB2312" w:eastAsia="CESI仿宋-GB2312" w:cs="Times New Roman" w:hint="eastAsia"/>
                <w:sz w:val="24"/>
                <w:szCs w:val="21"/>
              </w:rPr>
              <w:t>496</w:t>
            </w:r>
          </w:p>
        </w:tc>
      </w:tr>
    </w:tbl>
    <w:p>
      <w:pPr>
        <w:pStyle w:val="30"/>
        <w:spacing w:line="560" w:lineRule="exact"/>
        <w:jc w:val="left"/>
      </w:pPr>
      <w:r>
        <w:rPr>
          <w:rFonts w:hint="eastAsia"/>
        </w:rPr>
        <w:t>2.地质灾害规模分析</w:t>
      </w:r>
    </w:p>
    <w:p>
      <w:pPr>
        <w:spacing w:after="0" w:line="560" w:lineRule="exact"/>
        <w:ind w:firstLineChars="200" w:firstLine="640"/>
        <w:jc w:val="both"/>
        <w:rPr>
          <w:rFonts w:ascii="方正仿宋_GB2312" w:eastAsia="方正仿宋_GB2312" w:cs="Times New Roman" w:hAnsi="仿宋"/>
        </w:rPr>
      </w:pPr>
      <w:r>
        <w:rPr>
          <w:rFonts w:ascii="方正仿宋_GB2312" w:eastAsia="方正仿宋_GB2312" w:cs="Times New Roman" w:hAnsi="仿宋" w:hint="eastAsia"/>
        </w:rPr>
        <w:t>按照近10年灾情数据，规模为小型的488起，占比98.4%；规模为中型的8起，占比1.6%。</w:t>
      </w:r>
    </w:p>
    <w:p>
      <w:pPr>
        <w:spacing w:after="0" w:line="560" w:lineRule="exact"/>
        <w:ind w:firstLineChars="200" w:firstLine="640"/>
        <w:jc w:val="both"/>
        <w:rPr>
          <w:rFonts w:ascii="方正仿宋_GB2312" w:eastAsia="方正仿宋_GB2312" w:hAnsi="Tahoma"/>
        </w:rPr>
      </w:pPr>
      <w:r>
        <w:rPr>
          <w:rFonts w:ascii="方正仿宋_GB2312" w:eastAsia="方正仿宋_GB2312" w:cs="Times New Roman" w:hAnsi="仿宋" w:hint="eastAsia"/>
        </w:rPr>
        <w:t>综上，预测2025年发生地质灾害的主要类型为崩塌和泥石流，灾害规模以小型为主。</w:t>
      </w:r>
    </w:p>
    <w:p>
      <w:pPr>
        <w:pStyle w:val="2"/>
        <w:spacing w:before="0" w:after="0" w:line="560" w:lineRule="exact"/>
        <w:ind w:firstLineChars="150" w:firstLine="480"/>
        <w:rPr>
          <w:b w:val="0"/>
          <w:bCs w:val="0"/>
        </w:rPr>
      </w:pPr>
      <w:bookmarkStart w:id="8" w:name="_Toc132112211"/>
      <w:r>
        <w:rPr>
          <w:b w:val="0"/>
          <w:bCs w:val="0"/>
        </w:rPr>
        <w:t>（二）时空比对法</w:t>
      </w:r>
      <w:bookmarkEnd w:id="8"/>
    </w:p>
    <w:p>
      <w:pPr>
        <w:pStyle w:val="30"/>
        <w:spacing w:line="560" w:lineRule="exact"/>
        <w:rPr>
          <w:rFonts w:ascii="方正仿宋_GB2312" w:eastAsia="方正仿宋_GB2312"/>
        </w:rPr>
      </w:pPr>
      <w:r>
        <w:rPr>
          <w:rFonts w:ascii="方正仿宋_GB2312" w:eastAsia="方正仿宋_GB2312" w:hint="eastAsia"/>
        </w:rPr>
        <w:t>对近10年地质灾害灾情时段、区域进行比对，结合当前全省地质灾害隐患情况，进行预测分析。</w:t>
      </w:r>
    </w:p>
    <w:p>
      <w:pPr>
        <w:pStyle w:val="30"/>
        <w:spacing w:line="560" w:lineRule="exact"/>
      </w:pPr>
      <w:r>
        <w:rPr>
          <w:rFonts w:hint="eastAsia"/>
        </w:rPr>
        <w:t>1.地质灾害时段分析</w:t>
      </w:r>
    </w:p>
    <w:p>
      <w:pPr>
        <w:pStyle w:val="30"/>
        <w:spacing w:line="560" w:lineRule="exact"/>
      </w:pPr>
      <w:r>
        <w:rPr>
          <w:rFonts w:ascii="方正仿宋_GB2312" w:eastAsia="方正仿宋_GB2312" w:hint="eastAsia"/>
        </w:rPr>
        <w:t>灾情时段分析：近10年，从月份上看，1-3月份7起、4-6月份39起、7-9月份446起、10-12月份4起，全省地质灾害集中发生在三季度。其中，7-8月主汛期408起，占灾情总数的82.3%（详见图2-3）。近10年，从年份上看，近年极端天气呈增多趋势，灾情总量增长、不同年份差异极大。全省发生地质灾害最多的是2024年（219起），依次为2017年、2022年、2019年、2020年、2023年、2015年、</w:t>
      </w:r>
      <w:r>
        <w:rPr>
          <w:rFonts w:hint="eastAsia"/>
        </w:rPr>
        <w:t>2016年、2021年，2018年最少（6起）。</w:t>
      </w:r>
    </w:p>
    <w:p>
      <w:pPr>
        <w:spacing w:after="0" w:line="560" w:lineRule="exact"/>
        <w:rPr>
          <w:rFonts w:ascii="方正楷体_GB2312" w:eastAsia="方正楷体_GB2312" w:cs="Times New Roman"/>
          <w:kern w:val="2"/>
          <w:sz w:val="28"/>
          <w:szCs w:val="28"/>
        </w:rPr>
      </w:pPr>
      <w:r>
        <w:drawing>
          <wp:anchor distT="0" distB="0" distL="114300" distR="114300" simplePos="0" relativeHeight="23" behindDoc="0" locked="0" layoutInCell="1" hidden="0" allowOverlap="1">
            <wp:simplePos x="0" y="0"/>
            <wp:positionH relativeFrom="column">
              <wp:posOffset>552450</wp:posOffset>
            </wp:positionH>
            <wp:positionV relativeFrom="paragraph">
              <wp:posOffset>154939</wp:posOffset>
            </wp:positionV>
            <wp:extent cx="4361180" cy="2341529"/>
            <wp:effectExtent l="0" t="0" r="0" b="0"/>
            <wp:wrapTight wrapText="bothSides">
              <wp:wrapPolygon>
                <wp:start x="-37" y="-82"/>
                <wp:lineTo x="-37" y="21531"/>
                <wp:lineTo x="21568" y="21531"/>
                <wp:lineTo x="21568" y="-82"/>
                <wp:lineTo x="-37" y="-82"/>
              </wp:wrapPolygon>
            </wp:wrapTight>
            <wp:docPr id="4" name="图表 15" descr="7b0a202020202263686172745265734964223a20223230343732303435220a7d0a"/>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ind w:firstLineChars="600" w:firstLine="1680"/>
        <w:jc w:val="both"/>
        <w:rPr>
          <w:rFonts w:cs="Times New Roman"/>
        </w:rPr>
      </w:pPr>
      <w:r>
        <w:rPr>
          <w:rFonts w:ascii="方正楷体_GB2312" w:eastAsia="方正楷体_GB2312" w:cs="Times New Roman" w:hAnsi="Tahoma" w:hint="eastAsia"/>
          <w:kern w:val="2"/>
          <w:sz w:val="28"/>
          <w:szCs w:val="28"/>
        </w:rPr>
        <w:t>图2-3   2015-2024 年地质灾害时段统计图</w:t>
      </w:r>
    </w:p>
    <w:p>
      <w:pPr>
        <w:pStyle w:val="30"/>
        <w:spacing w:line="560" w:lineRule="exact"/>
      </w:pPr>
      <w:r>
        <w:rPr>
          <w:rFonts w:hint="eastAsia"/>
        </w:rPr>
        <w:t>2.地质灾害区域分析</w:t>
      </w:r>
    </w:p>
    <w:p>
      <w:pPr>
        <w:pStyle w:val="30"/>
        <w:spacing w:line="560" w:lineRule="exact"/>
      </w:pPr>
      <w:r>
        <w:rPr>
          <w:rFonts w:ascii="方正仿宋_GB2312" w:eastAsia="方正仿宋_GB2312" w:hint="eastAsia"/>
        </w:rPr>
        <w:t>灾情区域分析：近10年，各地发生地质灾害496起。其中，长春4起，占比0.8%；吉林68起，占比13.7%；四平7起，占比1.4%；辽源35起，占比7.1%；白山248起，</w:t>
      </w:r>
      <w:r>
        <w:rPr>
          <w:rFonts w:ascii="方正仿宋_GB2312" w:eastAsia="方正仿宋_GB2312"/>
        </w:rPr>
        <w:t>占比</w:t>
      </w:r>
      <w:r>
        <w:rPr>
          <w:rFonts w:ascii="方正仿宋_GB2312" w:eastAsia="方正仿宋_GB2312" w:hint="eastAsia"/>
        </w:rPr>
        <w:t>50.0%；通化（含梅河口）78起，</w:t>
      </w:r>
      <w:r>
        <w:rPr>
          <w:rFonts w:ascii="方正仿宋_GB2312" w:eastAsia="方正仿宋_GB2312"/>
        </w:rPr>
        <w:t>占比</w:t>
      </w:r>
      <w:r>
        <w:rPr>
          <w:rFonts w:ascii="方正仿宋_GB2312" w:eastAsia="方正仿宋_GB2312" w:hint="eastAsia"/>
        </w:rPr>
        <w:t>15.7%；延边49起，</w:t>
      </w:r>
      <w:r>
        <w:rPr>
          <w:rFonts w:ascii="方正仿宋_GB2312" w:eastAsia="方正仿宋_GB2312"/>
        </w:rPr>
        <w:t>占比</w:t>
      </w:r>
      <w:r>
        <w:rPr>
          <w:rFonts w:ascii="方正仿宋_GB2312" w:eastAsia="方正仿宋_GB2312" w:hint="eastAsia"/>
        </w:rPr>
        <w:t>9.9%；长白山区7起，占比1.4%。全省发生地质灾害最多的区域是白山地区，而后依次为通化、吉林、延边和辽源地区，占总数的96.4%；在长白山、四平和长春也有零星分布（见表2-1和图2-4）。</w:t>
      </w:r>
    </w:p>
    <w:p>
      <w:pPr>
        <w:spacing w:after="0" w:line="560" w:lineRule="exact"/>
        <w:rPr>
          <w:rFonts w:ascii="方正楷体_GB2312" w:eastAsia="方正楷体_GB2312" w:cs="Times New Roman"/>
          <w:kern w:val="2"/>
          <w:sz w:val="28"/>
          <w:szCs w:val="28"/>
        </w:rPr>
      </w:pPr>
      <w:r>
        <w:drawing>
          <wp:anchor distT="0" distB="0" distL="114300" distR="114300" simplePos="0" relativeHeight="25" behindDoc="0" locked="0" layoutInCell="1" hidden="0" allowOverlap="1">
            <wp:simplePos x="0" y="0"/>
            <wp:positionH relativeFrom="column">
              <wp:posOffset>403224</wp:posOffset>
            </wp:positionH>
            <wp:positionV relativeFrom="paragraph">
              <wp:posOffset>4445</wp:posOffset>
            </wp:positionV>
            <wp:extent cx="4467859" cy="2755900"/>
            <wp:effectExtent l="0" t="0" r="0" b="0"/>
            <wp:wrapTight wrapText="bothSides">
              <wp:wrapPolygon>
                <wp:start x="-6" y="-60"/>
                <wp:lineTo x="-6" y="21589"/>
                <wp:lineTo x="21590" y="21589"/>
                <wp:lineTo x="21590" y="-60"/>
                <wp:lineTo x="-6" y="-60"/>
              </wp:wrapPolygon>
            </wp:wrapTight>
            <wp:docPr id="5" name="图表 12" descr="7b0a202020202263686172745265734964223a20223230343732303435220a7d0a"/>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rPr>
          <w:rFonts w:ascii="方正楷体_GB2312" w:eastAsia="方正楷体_GB2312" w:cs="Times New Roman"/>
          <w:kern w:val="2"/>
          <w:sz w:val="28"/>
          <w:szCs w:val="28"/>
        </w:rPr>
      </w:pPr>
    </w:p>
    <w:p>
      <w:pPr>
        <w:spacing w:after="0" w:line="560" w:lineRule="exact"/>
        <w:ind w:firstLineChars="600" w:firstLine="1680"/>
        <w:jc w:val="both"/>
        <w:rPr>
          <w:rFonts w:ascii="方正楷体_GB2312" w:eastAsia="方正楷体_GB2312" w:cs="Times New Roman" w:hAnsi="Tahoma"/>
          <w:kern w:val="2"/>
          <w:sz w:val="28"/>
          <w:szCs w:val="28"/>
        </w:rPr>
      </w:pPr>
      <w:r>
        <w:rPr>
          <w:rFonts w:ascii="方正楷体_GB2312" w:eastAsia="方正楷体_GB2312" w:cs="Times New Roman" w:hAnsi="Tahoma" w:hint="eastAsia"/>
          <w:kern w:val="2"/>
          <w:sz w:val="28"/>
          <w:szCs w:val="28"/>
        </w:rPr>
        <w:t>图2-4  2015-2024年地质灾害区域统计图</w:t>
      </w:r>
    </w:p>
    <w:p>
      <w:pPr>
        <w:pStyle w:val="30"/>
        <w:spacing w:line="560" w:lineRule="exact"/>
        <w:rPr>
          <w:rFonts w:ascii="方正仿宋_GB2312" w:eastAsia="方正仿宋_GB2312"/>
        </w:rPr>
      </w:pPr>
      <w:r>
        <w:rPr>
          <w:rFonts w:ascii="方正仿宋_GB2312" w:eastAsia="方正仿宋_GB2312" w:hint="eastAsia"/>
        </w:rPr>
        <w:t>隐患区域分析：根据最新统计结果，现有地质灾害隐患点中，长春82处，占比1.5%；吉林737处，占比13.7%；四平57处，占比1.1%；白城11处，占比0.3%；辽源158处，</w:t>
      </w:r>
      <w:r>
        <w:rPr>
          <w:rFonts w:ascii="方正仿宋_GB2312" w:eastAsia="方正仿宋_GB2312"/>
        </w:rPr>
        <w:t>占比</w:t>
      </w:r>
      <w:r>
        <w:rPr>
          <w:rFonts w:ascii="方正仿宋_GB2312" w:eastAsia="方正仿宋_GB2312" w:hint="eastAsia"/>
        </w:rPr>
        <w:t>2.9%；松原39处，占比0.7%；白山（含长白山）1364处，占比25.3%；通化（含梅河口）1031处，占比19.1%；延边1910处，占比35.4%。</w:t>
      </w:r>
    </w:p>
    <w:p>
      <w:pPr>
        <w:pStyle w:val="30"/>
        <w:spacing w:line="560" w:lineRule="exact"/>
        <w:rPr>
          <w:rFonts w:ascii="方正仿宋_GB2312" w:eastAsia="方正仿宋_GB2312"/>
        </w:rPr>
      </w:pPr>
      <w:r>
        <w:rPr>
          <w:rFonts w:ascii="方正仿宋_GB2312" w:eastAsia="方正仿宋_GB2312" w:hint="eastAsia"/>
        </w:rPr>
        <w:t>综上，预测2025年主要发生地质灾害的地区为白山、通化和延边</w:t>
      </w:r>
      <w:r>
        <w:rPr>
          <w:rFonts w:ascii="方正仿宋_GB2312" w:eastAsia="方正仿宋_GB2312"/>
        </w:rPr>
        <w:t>地区</w:t>
      </w:r>
      <w:r>
        <w:rPr>
          <w:rFonts w:ascii="方正仿宋_GB2312" w:eastAsia="方正仿宋_GB2312" w:hint="eastAsia"/>
        </w:rPr>
        <w:t>，发生的主要时段为主汛期（7-8月）。</w:t>
      </w:r>
    </w:p>
    <w:p>
      <w:pPr>
        <w:pStyle w:val="2"/>
        <w:spacing w:before="0" w:after="0" w:line="560" w:lineRule="exact"/>
        <w:ind w:firstLineChars="150" w:firstLine="480"/>
        <w:rPr>
          <w:b w:val="0"/>
          <w:bCs w:val="0"/>
        </w:rPr>
      </w:pPr>
      <w:bookmarkStart w:id="9" w:name="_Toc132112212"/>
      <w:r>
        <w:rPr>
          <w:b w:val="0"/>
          <w:bCs w:val="0"/>
        </w:rPr>
        <w:t>（三）叠加分析法</w:t>
      </w:r>
      <w:bookmarkEnd w:id="9"/>
    </w:p>
    <w:p>
      <w:pPr>
        <w:pStyle w:val="30"/>
        <w:spacing w:line="560" w:lineRule="exact"/>
      </w:pPr>
      <w:r>
        <w:rPr>
          <w:rFonts w:ascii="方正仿宋_GB2312" w:eastAsia="方正仿宋_GB2312" w:hint="eastAsia"/>
        </w:rPr>
        <w:t>以吉林省地质灾害易发分区图为底图，叠加气象预测、人类工程活动特点进行预测分析。</w:t>
      </w:r>
    </w:p>
    <w:p>
      <w:pPr>
        <w:pStyle w:val="30"/>
        <w:spacing w:line="560" w:lineRule="exact"/>
      </w:pPr>
      <w:r>
        <w:rPr>
          <w:rFonts w:hint="eastAsia"/>
        </w:rPr>
        <w:t>1.地质灾害易发区特点</w:t>
      </w:r>
    </w:p>
    <w:p>
      <w:pPr>
        <w:pStyle w:val="30"/>
        <w:spacing w:line="560" w:lineRule="exact"/>
        <w:rPr>
          <w:rFonts w:ascii="方正仿宋_GB2312" w:eastAsia="方正仿宋_GB2312"/>
        </w:rPr>
      </w:pPr>
      <w:r>
        <w:rPr>
          <w:rFonts w:ascii="方正仿宋_GB2312" w:eastAsia="方正仿宋_GB2312" w:hint="eastAsia"/>
        </w:rPr>
        <w:t>吉林省地势东南高、西北低，以北东—南西向纵贯全省的大黑山脉为界，分为东部山区和西部平原区两大区域。其中，东部山区地势起伏大，地形切割强烈，岩性岩相复杂多样，是我省地质灾害易发区。其主要特点是：区内断裂褶皱发育，筑路、采矿、垦植等工程活动频繁，孕育以中小型崩塌、泥石流为主的地质灾害，对城镇、乡村、农田、交通造成威胁。</w:t>
      </w:r>
    </w:p>
    <w:p>
      <w:pPr>
        <w:spacing w:after="0" w:line="560" w:lineRule="exact"/>
        <w:rPr>
          <w:rFonts w:ascii="方正楷体_GB2312" w:eastAsia="方正楷体_GB2312" w:cs="Times New Roman" w:hAnsi="Tahoma"/>
          <w:kern w:val="2"/>
          <w:sz w:val="28"/>
          <w:szCs w:val="28"/>
        </w:rPr>
      </w:pPr>
      <w:r>
        <w:rPr>
          <w:rFonts w:ascii="方正楷体_GB2312" w:eastAsia="方正楷体_GB2312" w:cs="Times New Roman" w:hAnsi="Tahoma" w:hint="eastAsia"/>
          <w:kern w:val="2"/>
          <w:sz w:val="28"/>
          <w:szCs w:val="28"/>
        </w:rPr>
        <w:drawing>
          <wp:anchor distT="0" distB="0" distL="114935" distR="114935" simplePos="0" relativeHeight="17" behindDoc="0" locked="0" layoutInCell="1" hidden="0" allowOverlap="1">
            <wp:simplePos x="0" y="0"/>
            <wp:positionH relativeFrom="column">
              <wp:posOffset>309292</wp:posOffset>
            </wp:positionH>
            <wp:positionV relativeFrom="paragraph">
              <wp:posOffset>59055</wp:posOffset>
            </wp:positionV>
            <wp:extent cx="4699494" cy="3598956"/>
            <wp:effectExtent l="0" t="0" r="26" b="10"/>
            <wp:wrapSquare wrapText="bothSides"/>
            <wp:docPr id="6" name="图片 2" descr="易发分区图"/>
            <wp:cNvGraphicFramePr>
              <a:graphicFrameLocks noChangeAspect="1"/>
            </wp:cNvGraphicFramePr>
            <a:graphic>
              <a:graphicData uri="http://schemas.openxmlformats.org/drawingml/2006/picture">
                <pic:pic>
                  <pic:nvPicPr>
                    <pic:cNvPr id="8" name="图片 2 8"/>
                    <pic:cNvPicPr/>
                  </pic:nvPicPr>
                  <pic:blipFill>
                    <a:blip r:embed="rId8"/>
                    <a:stretch>
                      <a:fillRect/>
                    </a:stretch>
                  </pic:blipFill>
                  <pic:spPr>
                    <a:xfrm rot="0">
                      <a:off x="0" y="0"/>
                      <a:ext cx="4699494" cy="3598956"/>
                    </a:xfrm>
                    <a:prstGeom prst="rect"/>
                    <a:noFill/>
                    <a:ln w="9525" cmpd="sng" cap="flat">
                      <a:noFill/>
                      <a:prstDash val="solid"/>
                      <a:miter/>
                    </a:ln>
                  </pic:spPr>
                </pic:pic>
              </a:graphicData>
            </a:graphic>
          </wp:anchor>
        </w:drawing>
      </w:r>
      <w:r>
        <w:rPr>
          <w:rFonts w:ascii="方正楷体_GB2312" w:eastAsia="方正楷体_GB2312" w:cs="Times New Roman" w:hAnsi="Tahoma" w:hint="eastAsia"/>
          <w:kern w:val="2"/>
          <w:sz w:val="28"/>
          <w:szCs w:val="28"/>
        </w:rPr>
        <w:t>图2-5   吉林省地质灾害易发分区图</w:t>
      </w:r>
    </w:p>
    <w:p>
      <w:pPr>
        <w:pStyle w:val="30"/>
        <w:spacing w:line="560" w:lineRule="exact"/>
      </w:pPr>
      <w:r>
        <w:rPr>
          <w:rFonts w:hint="eastAsia"/>
        </w:rPr>
        <w:t>2.气象预测情况</w:t>
      </w:r>
    </w:p>
    <w:p>
      <w:pPr>
        <w:pStyle w:val="25"/>
        <w:spacing w:before="0" w:beforeAutospacing="0" w:after="0" w:afterAutospacing="0" w:line="560" w:lineRule="exact"/>
        <w:ind w:firstLine="560"/>
        <w:jc w:val="both"/>
        <w:rPr>
          <w:rFonts w:ascii="方正仿宋_GB2312" w:eastAsia="方正仿宋_GB2312" w:hAnsi="Tahoma"/>
          <w:sz w:val="32"/>
        </w:rPr>
      </w:pPr>
      <w:r>
        <w:rPr>
          <w:rFonts w:ascii="方正仿宋_GB2312" w:eastAsia="方正仿宋_GB2312" w:hAnsi="仿宋" w:hint="eastAsia"/>
          <w:sz w:val="32"/>
        </w:rPr>
        <w:t>据气象部门预测，预计2025年全省降水为610～630毫米，与常年相近。夏季（6-8月份）全省平均降水量为350～410毫米，与常年相近。前夏多雷雨大风、雷电等强对流天气，将有不同程度阶段性气象干旱发生；盛夏（7-8月）中南部和东部地区将有区域性暴雨和局部洪涝。</w:t>
      </w:r>
    </w:p>
    <w:p>
      <w:pPr>
        <w:pStyle w:val="30"/>
        <w:spacing w:line="560" w:lineRule="exact"/>
      </w:pPr>
      <w:r>
        <w:rPr>
          <w:rFonts w:hint="eastAsia"/>
        </w:rPr>
        <w:t>3.人类工程活动特点</w:t>
      </w:r>
    </w:p>
    <w:p>
      <w:pPr>
        <w:pStyle w:val="30"/>
        <w:spacing w:line="560" w:lineRule="exact"/>
        <w:rPr>
          <w:rFonts w:ascii="方正仿宋_GB2312" w:eastAsia="方正仿宋_GB2312"/>
        </w:rPr>
      </w:pPr>
      <w:r>
        <w:rPr>
          <w:rFonts w:ascii="方正仿宋_GB2312" w:eastAsia="方正仿宋_GB2312" w:hint="eastAsia"/>
        </w:rPr>
        <w:t>我省地质灾害易发区内切坡现象十分普遍，对原有山体和地貌破坏较大，产生大量不稳定危岩体，易形成崩塌隐患。露天采矿形成的高陡边坡，在爆破振动等外应力作用下，边坡岩体碎裂、松动，容易产生崩塌灾害。地下开采活动形成的采空区，支护和回填不到位时，易形成地面沉降或塌陷隐患。山区毁林开荒，造成岩土体裸露和水土流失，大量松散固体物在沟道内堆积，易形成泥石流隐患。因2024年度吉林省建设沿边开放旅游大通道，对国道G331沿线地质灾害进行治理，大幅降低崩塌风险。</w:t>
      </w:r>
    </w:p>
    <w:p>
      <w:pPr>
        <w:pStyle w:val="30"/>
        <w:spacing w:line="560" w:lineRule="exact"/>
        <w:rPr>
          <w:rFonts w:ascii="方正仿宋_GB2312" w:eastAsia="方正仿宋_GB2312"/>
        </w:rPr>
      </w:pPr>
      <w:r>
        <w:rPr>
          <w:rFonts w:ascii="方正仿宋_GB2312" w:eastAsia="方正仿宋_GB2312" w:hint="eastAsia"/>
        </w:rPr>
        <w:t>综上，预测2025年地质灾害发生数量略低于近10年平均数（49.6），灾情等级以小型为主。</w:t>
      </w:r>
    </w:p>
    <w:p>
      <w:pPr>
        <w:pStyle w:val="1"/>
        <w:spacing w:before="0" w:line="560" w:lineRule="exact"/>
        <w:ind w:firstLineChars="200" w:firstLine="640"/>
        <w:rPr>
          <w:rFonts w:ascii="方正黑体_GBK" w:eastAsia="方正黑体_GBK" w:hAnsi="Tahoma"/>
          <w:b w:val="0"/>
          <w:bCs w:val="0"/>
        </w:rPr>
      </w:pPr>
      <w:bookmarkStart w:id="10" w:name="_Toc132112213"/>
      <w:r>
        <w:rPr>
          <w:rFonts w:ascii="方正黑体_GBK" w:eastAsia="方正黑体_GBK" w:hAnsi="Tahoma" w:hint="eastAsia"/>
          <w:b w:val="0"/>
          <w:bCs w:val="0"/>
        </w:rPr>
        <w:t>三、2025年地质灾害趋势预测结论</w:t>
      </w:r>
      <w:bookmarkEnd w:id="10"/>
    </w:p>
    <w:p>
      <w:pPr>
        <w:spacing w:after="0" w:line="560" w:lineRule="exact"/>
        <w:ind w:firstLineChars="150" w:firstLine="480"/>
        <w:jc w:val="both"/>
      </w:pPr>
      <w:bookmarkStart w:id="11" w:name="_Toc132112214"/>
      <w:r>
        <w:rPr>
          <w:rFonts w:hAnsi="Cambria"/>
        </w:rPr>
        <w:t>（一）总体预测结论</w:t>
      </w:r>
      <w:bookmarkEnd w:id="11"/>
    </w:p>
    <w:p>
      <w:pPr>
        <w:pStyle w:val="30"/>
        <w:spacing w:line="560" w:lineRule="exact"/>
      </w:pPr>
      <w:bookmarkStart w:id="12" w:name="_Toc132112215"/>
      <w:r>
        <w:rPr>
          <w:rFonts w:ascii="方正仿宋_GB2312" w:eastAsia="方正仿宋_GB2312" w:hint="eastAsia"/>
        </w:rPr>
        <w:t>预测2025年全省地质灾害数量略低于近10年平均数，重点时段为主汛期（7-8月份），主要发生在白山、通化、延边地质灾害易发区内，灾情等级以小型为主，灾害规模以小型为主，主要类型为崩塌和泥石流。重点防范公路切坡、露天采矿、切坡建房等引发的崩塌，山前沟口因强降雨引发的泥石流，部分地下开采活动引发的地面塌陷。</w:t>
      </w:r>
    </w:p>
    <w:p>
      <w:pPr>
        <w:spacing w:after="0" w:line="560" w:lineRule="exact"/>
        <w:ind w:firstLineChars="150" w:firstLine="480"/>
        <w:jc w:val="both"/>
        <w:rPr>
          <w:rFonts w:hAnsi="Cambria"/>
        </w:rPr>
      </w:pPr>
      <w:r>
        <w:rPr>
          <w:rFonts w:hAnsi="Cambria"/>
        </w:rPr>
        <w:t>（二）重点防范区域预测</w:t>
      </w:r>
      <w:bookmarkEnd w:id="12"/>
    </w:p>
    <w:p>
      <w:pPr>
        <w:pStyle w:val="30"/>
        <w:spacing w:line="560" w:lineRule="exact"/>
        <w:rPr>
          <w:rFonts w:ascii="方正仿宋_GB2312" w:eastAsia="方正仿宋_GB2312"/>
        </w:rPr>
      </w:pPr>
      <w:r>
        <w:rPr>
          <w:rFonts w:ascii="方正仿宋_GB2312" w:eastAsia="方正仿宋_GB2312" w:hint="eastAsia"/>
        </w:rPr>
        <w:t>预测地质灾害将主要发生在白山、通化和延边地区（含长白山），吉林地区在极端天气条件下也可能发生。白山地区应重点防范临江市、长白县和靖宇县山间沟谷周边的泥石流。通化地区应重点防范东昌区、二道江区、集安市、通化县的崩塌。延边地区应重点防范国道302延吉—安图段、延吉市五道水库周边的崩塌，珲春市采空区的地面塌陷，敦化市、图们市、汪清县山区的泥石流。吉林地区应重点防范国道334桦甸段，桦甸市北部和东部、蛟河市东部和南部县级公路沿线的崩塌，永吉县口前镇的泥石流。辽源地区重点防范采空区的地面塌陷。</w:t>
      </w:r>
    </w:p>
    <w:p>
      <w:pPr>
        <w:spacing w:after="0" w:line="560" w:lineRule="exact"/>
        <w:ind w:firstLineChars="150" w:firstLine="480"/>
        <w:jc w:val="both"/>
        <w:rPr>
          <w:rFonts w:hAnsi="Cambria"/>
        </w:rPr>
      </w:pPr>
      <w:bookmarkStart w:id="13" w:name="_Toc132112216"/>
      <w:r>
        <w:rPr>
          <w:rFonts w:hAnsi="Cambria"/>
        </w:rPr>
        <w:t>（三）重点防范时段预测</w:t>
      </w:r>
      <w:bookmarkEnd w:id="13"/>
    </w:p>
    <w:p>
      <w:pPr>
        <w:pStyle w:val="30"/>
        <w:spacing w:line="560" w:lineRule="exact"/>
      </w:pPr>
      <w:r>
        <w:rPr>
          <w:rFonts w:hint="eastAsia"/>
        </w:rPr>
        <w:t>（1）3-5月份</w:t>
      </w:r>
    </w:p>
    <w:p>
      <w:pPr>
        <w:pStyle w:val="30"/>
        <w:spacing w:line="560" w:lineRule="exact"/>
        <w:rPr>
          <w:rFonts w:ascii="方正仿宋_GB2312" w:eastAsia="方正仿宋_GB2312"/>
        </w:rPr>
      </w:pPr>
      <w:r>
        <w:rPr>
          <w:rFonts w:ascii="方正仿宋_GB2312" w:eastAsia="方正仿宋_GB2312" w:hint="eastAsia"/>
        </w:rPr>
        <w:t>诱发因素以冻融冻胀等为主，预测发生灾害可能性中等，规模以小型为主。重点防范公路两侧边坡、陡崖可能发生的崩塌灾害。</w:t>
      </w:r>
    </w:p>
    <w:p>
      <w:pPr>
        <w:pStyle w:val="30"/>
        <w:spacing w:line="560" w:lineRule="exact"/>
      </w:pPr>
      <w:r>
        <w:rPr>
          <w:rFonts w:hint="eastAsia"/>
        </w:rPr>
        <w:t>（2）6-8月份</w:t>
      </w:r>
    </w:p>
    <w:p>
      <w:pPr>
        <w:pStyle w:val="30"/>
        <w:spacing w:line="560" w:lineRule="exact"/>
        <w:rPr>
          <w:rFonts w:ascii="方正仿宋_GB2312" w:eastAsia="方正仿宋_GB2312"/>
        </w:rPr>
      </w:pPr>
      <w:r>
        <w:rPr>
          <w:rFonts w:ascii="方正仿宋_GB2312" w:eastAsia="方正仿宋_GB2312" w:hint="eastAsia"/>
        </w:rPr>
        <w:t>诱发因素以降雨为主，预测发生灾害可能性较大，规模以小型为主。重点防范强降雨或持续降雨引发的崩塌、泥石流等灾害。特别注意防范长白山等旅游区地质灾害。</w:t>
      </w:r>
    </w:p>
    <w:p>
      <w:pPr>
        <w:pStyle w:val="30"/>
        <w:spacing w:line="560" w:lineRule="exact"/>
      </w:pPr>
      <w:r>
        <w:rPr>
          <w:rFonts w:hint="eastAsia"/>
        </w:rPr>
        <w:t>（3）9-12月份</w:t>
      </w:r>
    </w:p>
    <w:p>
      <w:pPr>
        <w:pStyle w:val="30"/>
        <w:spacing w:line="560" w:lineRule="exact"/>
        <w:rPr>
          <w:rFonts w:ascii="方正仿宋_GB2312" w:eastAsia="方正仿宋_GB2312"/>
        </w:rPr>
      </w:pPr>
      <w:r>
        <w:rPr>
          <w:rFonts w:ascii="方正仿宋_GB2312" w:eastAsia="方正仿宋_GB2312" w:hint="eastAsia"/>
        </w:rPr>
        <w:t>诱发因素以台风形成的降雨为主，冻胀因素（11月份）也一定程度存在，预测发生灾害可能性较小。重点防范东部山区高陡边坡，在前期连续降雨后，岩土体高度饱和条件下，可能导致小雨引发灾害。</w:t>
      </w:r>
    </w:p>
    <w:p>
      <w:pPr>
        <w:pStyle w:val="1"/>
        <w:spacing w:before="0" w:line="560" w:lineRule="exact"/>
        <w:ind w:firstLineChars="200" w:firstLine="640"/>
        <w:rPr>
          <w:rFonts w:ascii="方正黑体_GBK" w:eastAsia="方正黑体_GBK" w:hAnsi="Tahoma"/>
          <w:b w:val="0"/>
          <w:bCs w:val="0"/>
        </w:rPr>
      </w:pPr>
      <w:bookmarkStart w:id="14" w:name="_Toc132112217"/>
      <w:r>
        <w:rPr>
          <w:rFonts w:ascii="方正黑体_GBK" w:eastAsia="方正黑体_GBK" w:hAnsi="Tahoma" w:hint="eastAsia"/>
          <w:b w:val="0"/>
          <w:bCs w:val="0"/>
        </w:rPr>
        <w:t>四、防治建议</w:t>
      </w:r>
      <w:bookmarkEnd w:id="14"/>
    </w:p>
    <w:p>
      <w:pPr>
        <w:spacing w:after="0" w:line="560" w:lineRule="exact"/>
        <w:ind w:firstLineChars="200" w:firstLine="640"/>
        <w:jc w:val="both"/>
        <w:outlineLvl w:val="1"/>
        <w:rPr>
          <w:rFonts w:hAnsi="Cambria"/>
        </w:rPr>
      </w:pPr>
      <w:bookmarkStart w:id="15" w:name="_Toc132112218"/>
      <w:r>
        <w:rPr>
          <w:rFonts w:hAnsi="Cambria"/>
        </w:rPr>
        <w:t>（一）加强重点地区防范</w:t>
      </w:r>
    </w:p>
    <w:p>
      <w:pPr>
        <w:pStyle w:val="30"/>
        <w:spacing w:line="560" w:lineRule="exact"/>
        <w:rPr>
          <w:rFonts w:ascii="方正仿宋_GB2312" w:eastAsia="方正仿宋_GB2312"/>
        </w:rPr>
      </w:pPr>
      <w:r>
        <w:rPr>
          <w:rFonts w:ascii="方正仿宋_GB2312" w:eastAsia="方正仿宋_GB2312" w:hint="eastAsia"/>
        </w:rPr>
        <w:t>对重点防范区域附近人口聚集区，要密切关注雨情、汛情，各防灾责任单位严格落实预警“叫应”机制，探索开展短信触达、微信群公告待办等应答方式，预警信息直达受威胁群众，强化应急值守、预报预警和巡查监测工作，确保受威胁群众安全。</w:t>
      </w:r>
    </w:p>
    <w:p>
      <w:pPr>
        <w:spacing w:after="0" w:line="560" w:lineRule="exact"/>
        <w:ind w:firstLineChars="200" w:firstLine="640"/>
        <w:jc w:val="both"/>
        <w:outlineLvl w:val="1"/>
        <w:rPr>
          <w:rFonts w:hAnsi="Cambria"/>
        </w:rPr>
      </w:pPr>
      <w:r>
        <w:rPr>
          <w:rFonts w:hAnsi="Cambria"/>
        </w:rPr>
        <w:t>（二）加密巡查排查</w:t>
      </w:r>
      <w:bookmarkEnd w:id="15"/>
    </w:p>
    <w:p>
      <w:pPr>
        <w:pStyle w:val="30"/>
        <w:spacing w:line="560" w:lineRule="exact"/>
        <w:rPr>
          <w:rFonts w:ascii="方正仿宋_GB2312" w:eastAsia="方正仿宋_GB2312"/>
        </w:rPr>
      </w:pPr>
      <w:r>
        <w:rPr>
          <w:rFonts w:ascii="方正仿宋_GB2312" w:eastAsia="方正仿宋_GB2312" w:hint="eastAsia"/>
        </w:rPr>
        <w:t>发挥专业技术队伍的支撑作用，组织“行政+技术”“干部+专家”形式的联合小组，定期进行汛前、汛中、汛后巡查排查，及时掌握重要隐患点变化发育情况，结合隐患风险程度，有针对性</w:t>
      </w:r>
      <w:r>
        <w:rPr>
          <w:rFonts w:ascii="方正仿宋_GB2312" w:eastAsia="方正仿宋_GB2312"/>
        </w:rPr>
        <w:t>地</w:t>
      </w:r>
      <w:r>
        <w:rPr>
          <w:rFonts w:ascii="方正仿宋_GB2312" w:eastAsia="方正仿宋_GB2312" w:hint="eastAsia"/>
        </w:rPr>
        <w:t>开展排危除险工作。</w:t>
      </w:r>
    </w:p>
    <w:p>
      <w:pPr>
        <w:spacing w:after="0" w:line="560" w:lineRule="exact"/>
        <w:ind w:firstLineChars="200" w:firstLine="640"/>
        <w:jc w:val="both"/>
        <w:outlineLvl w:val="1"/>
        <w:rPr>
          <w:rFonts w:hAnsi="Cambria"/>
        </w:rPr>
      </w:pPr>
      <w:bookmarkStart w:id="16" w:name="_Toc132112219"/>
      <w:r>
        <w:rPr>
          <w:rFonts w:hAnsi="Cambria"/>
        </w:rPr>
        <w:t>（三）强化群测群防体系建设</w:t>
      </w:r>
      <w:bookmarkEnd w:id="16"/>
    </w:p>
    <w:p>
      <w:pPr>
        <w:pStyle w:val="30"/>
        <w:spacing w:line="560" w:lineRule="exact"/>
        <w:rPr>
          <w:rFonts w:ascii="方正仿宋_GB2312" w:eastAsia="方正仿宋_GB2312"/>
        </w:rPr>
      </w:pPr>
      <w:r>
        <w:rPr>
          <w:rFonts w:ascii="方正仿宋_GB2312" w:eastAsia="方正仿宋_GB2312" w:hint="eastAsia"/>
        </w:rPr>
        <w:t>及时更新并发放“一表两卡”（《主要地质灾害危险点防灾预案表》《崩塌、滑坡、泥石流等地质灾害防灾工作明白卡》《崩塌、滑坡、泥石流等地质灾害防灾避险工 作明白卡》）。落实重要隐患点的防治包保责任，组织技术支撑单位和群测群防员加密雨前、雨中、雨后监测频次，发现险情立即处置并报告。</w:t>
      </w:r>
    </w:p>
    <w:p>
      <w:pPr>
        <w:spacing w:after="0" w:line="560" w:lineRule="exact"/>
        <w:ind w:firstLineChars="200" w:firstLine="640"/>
        <w:jc w:val="both"/>
        <w:outlineLvl w:val="1"/>
        <w:rPr>
          <w:rFonts w:hAnsi="Cambria"/>
        </w:rPr>
      </w:pPr>
      <w:bookmarkStart w:id="17" w:name="_Toc132112220"/>
      <w:r>
        <w:rPr>
          <w:rFonts w:hAnsi="Cambria"/>
        </w:rPr>
        <w:t>（四）做好预报预警</w:t>
      </w:r>
      <w:bookmarkEnd w:id="17"/>
    </w:p>
    <w:p>
      <w:pPr>
        <w:pStyle w:val="30"/>
        <w:spacing w:line="560" w:lineRule="exact"/>
        <w:rPr>
          <w:rFonts w:ascii="方正仿宋_GB2312" w:eastAsia="方正仿宋_GB2312"/>
        </w:rPr>
      </w:pPr>
      <w:r>
        <w:rPr>
          <w:rFonts w:ascii="方正仿宋_GB2312" w:eastAsia="方正仿宋_GB2312" w:hint="eastAsia"/>
        </w:rPr>
        <w:t>加强与气象部门会商，联合发布地质灾害预报预警信息，并第一时间通知到相关预警地区、防灾人员及受威胁群众。提高预警精度，市（州）级精确到乡镇、县</w:t>
      </w:r>
      <w:r>
        <w:rPr>
          <w:rFonts w:ascii="方正仿宋_GB2312" w:eastAsia="方正仿宋_GB2312"/>
        </w:rPr>
        <w:t>（市、区）</w:t>
      </w:r>
      <w:r>
        <w:rPr>
          <w:rFonts w:ascii="方正仿宋_GB2312" w:eastAsia="方正仿宋_GB2312" w:hint="eastAsia"/>
        </w:rPr>
        <w:t>级精确到村屯；推广预警信息随气象预报滚动发布机制。加强与应急、交通、文旅、铁路、电力等相关部门和单位的预警信息共享；加强汛期值班管理，确保重点时段联系畅通。</w:t>
      </w:r>
    </w:p>
    <w:p>
      <w:pPr>
        <w:spacing w:after="0" w:line="560" w:lineRule="exact"/>
        <w:ind w:firstLineChars="200" w:firstLine="640"/>
        <w:jc w:val="both"/>
        <w:outlineLvl w:val="1"/>
        <w:rPr>
          <w:rFonts w:hAnsi="Cambria"/>
        </w:rPr>
      </w:pPr>
      <w:r>
        <w:rPr>
          <w:rFonts w:hAnsi="Cambria"/>
        </w:rPr>
        <w:t>（五）有效发挥地质灾害预警系统作用</w:t>
      </w:r>
    </w:p>
    <w:p>
      <w:pPr>
        <w:spacing w:after="0" w:line="560" w:lineRule="exact"/>
        <w:ind w:firstLineChars="200" w:firstLine="640"/>
        <w:jc w:val="both"/>
        <w:rPr>
          <w:rFonts w:ascii="方正仿宋_GB2312" w:eastAsia="方正仿宋_GB2312" w:cs="Times New Roman" w:hAnsi="仿宋"/>
        </w:rPr>
      </w:pPr>
      <w:r>
        <w:rPr>
          <w:rFonts w:ascii="方正仿宋_GB2312" w:eastAsia="方正仿宋_GB2312" w:cs="Times New Roman" w:hAnsi="仿宋" w:hint="eastAsia"/>
        </w:rPr>
        <w:t>建设应用吉林省地质灾害风险预警系统，加强气象数据共享，提升省-市-县一体化地质灾害气象风险预警工作能力和精度，充分运用系统支撑地质灾害防治体系。开展市-县级风险预警系统操作培训，探索依托系统平台实现县级短信提醒，不断提升地质灾害气象风险预警能力。充分利用吉林省地质灾害监测预警系统，实现国家-省-市-县四级数据互联互通和动态更新，指导各地切实利用系统平台数据，从调查评价、监测预警、应急技术支撑、治理搬迁和综合防灾能力建设方面，充分利用信息化工具，不断提升地质灾害防治信息化水平。</w:t>
      </w:r>
    </w:p>
    <w:p>
      <w:pPr>
        <w:spacing w:after="0" w:line="560" w:lineRule="exact"/>
        <w:ind w:firstLineChars="200" w:firstLine="640"/>
        <w:jc w:val="both"/>
        <w:outlineLvl w:val="1"/>
        <w:rPr>
          <w:rFonts w:hAnsi="Cambria"/>
        </w:rPr>
      </w:pPr>
      <w:bookmarkStart w:id="18" w:name="_Toc132112222"/>
      <w:r>
        <w:rPr>
          <w:rFonts w:hAnsi="Cambria"/>
        </w:rPr>
        <w:t>（六）开展宣传培训和演练</w:t>
      </w:r>
      <w:bookmarkEnd w:id="18"/>
    </w:p>
    <w:p>
      <w:pPr>
        <w:pStyle w:val="30"/>
        <w:spacing w:line="560" w:lineRule="exact"/>
        <w:rPr>
          <w:rFonts w:ascii="方正仿宋_GB2312" w:eastAsia="方正仿宋_GB2312"/>
        </w:rPr>
      </w:pPr>
      <w:r>
        <w:rPr>
          <w:rFonts w:ascii="方正仿宋_GB2312" w:eastAsia="方正仿宋_GB2312" w:hint="eastAsia"/>
        </w:rPr>
        <w:t>组织地质灾害防灾避险知识科普宣传，开展群测群防体系相关人员培训，指导基层组织和责任单位开展避险演练，切实提高全民识灾辨灾避灾意识和能力，奠定坚实的地质灾害防治群众基础。</w:t>
      </w:r>
    </w:p>
    <w:sectPr>
      <w:footerReference w:type="default" r:id="rId2"/>
      <w:pgSz w:w="11906" w:h="16838"/>
      <w:pgMar w:top="1440" w:right="1797" w:bottom="1440" w:left="1797" w:header="709" w:footer="424" w:gutter="0"/>
      <w:pgNumType w:fmt="numberInDash" w:start="1"/>
      <w:docGrid w:linePitch="360" w:charSpace="-6553"/>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仿宋_GB2312">
    <w:altName w:val="仿宋"/>
    <w:panose1 w:val="00000000000000000000"/>
    <w:charset w:val="86"/>
    <w:family w:val="auto"/>
    <w:pitch w:val="variable"/>
    <w:sig w:usb0="00000000" w:usb1="00000000" w:usb2="00000012" w:usb3="00000000" w:csb0="00040001" w:csb1="00000000"/>
  </w:font>
  <w:font w:name="方正小标宋_GBK">
    <w:altName w:val="微软雅黑"/>
    <w:panose1 w:val="03000509000000000000"/>
    <w:charset w:val="86"/>
    <w:family w:val="script"/>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Times New Roman">
    <w:altName w:val="DejaVu Sans"/>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CESI黑体-GB2312">
    <w:altName w:val="黑体"/>
    <w:panose1 w:val="00000000000000000000"/>
    <w:charset w:val="86"/>
    <w:family w:val="script"/>
    <w:pitch w:val="variable"/>
    <w:sig w:usb0="00000000" w:usb1="00000000" w:usb2="00000012" w:usb3="00000000" w:csb0="0004000F" w:csb1="00000000"/>
  </w:font>
  <w:font w:name="楷体_GB2312">
    <w:altName w:val="楷体"/>
    <w:panose1 w:val="02010609030101010101"/>
    <w:charset w:val="86"/>
    <w:family w:val="modern"/>
    <w:pitch w:val="variable"/>
    <w:sig w:usb0="00000001" w:usb1="080E0000" w:usb2="00000010" w:usb3="00000000" w:csb0="00040000" w:csb1="00000000"/>
  </w:font>
  <w:font w:name="CESI仿宋-GB2312">
    <w:altName w:val="微软雅黑"/>
    <w:panose1 w:val="00000000000000000000"/>
    <w:charset w:val="86"/>
    <w:family w:val="script"/>
    <w:pitch w:val="variable"/>
    <w:sig w:usb0="00000000" w:usb1="084F6CF8" w:usb2="00000010" w:usb3="00000000" w:csb0="0004000F" w:csb1="00000000"/>
  </w:font>
  <w:font w:name="Cambria">
    <w:altName w:val="Noto Sans Syriac Eastern"/>
    <w:panose1 w:val="02040503050406030204"/>
    <w:charset w:val="00"/>
    <w:family w:val="roman"/>
    <w:pitch w:val="variable"/>
    <w:sig w:usb0="E00002FF" w:usb1="400004FF" w:usb2="00000000" w:usb3="00000000" w:csb0="0000019F" w:csb1="00000000"/>
  </w:font>
  <w:font w:name="___WRD_EMBED_SUB_52">
    <w:altName w:val="宋体"/>
    <w:panose1 w:val="00000000000000000000"/>
    <w:charset w:val="86"/>
    <w:family w:val="auto"/>
    <w:pitch w:val="variable"/>
    <w:sig w:usb0="00000000" w:usb1="00000000" w:usb2="00000012" w:usb3="00000000" w:csb0="00040001" w:csb1="00000000"/>
  </w:font>
  <w:font w:name="方正楷体_GB2312">
    <w:altName w:val="宋体"/>
    <w:panose1 w:val="00000000000000000000"/>
    <w:charset w:val="86"/>
    <w:family w:val="auto"/>
    <w:pitch w:val="variable"/>
    <w:sig w:usb0="00000000" w:usb1="00000000" w:usb2="00000012" w:usb3="00000000" w:csb0="00040001"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方正兰亭黑_GBK">
    <w:altName w:val="微软雅黑"/>
    <w:panose1 w:val="00000000000000000000"/>
    <w:charset w:val="86"/>
    <w:family w:val="script"/>
    <w:pitch w:val="variable"/>
    <w:sig w:usb0="00000000" w:usb1="00000000" w:usb2="00000016"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64514307"/>
    </w:sdtPr>
    <w:sdtEndPr>
      <w:rPr>
        <w:rFonts w:ascii="CESI仿宋-GB2312" w:eastAsia="CESI仿宋-GB2312"/>
        <w:sz w:val="32"/>
      </w:rPr>
    </w:sdtEndPr>
    <w:sdtContent>
      <w:p>
        <w:pPr>
          <w:pStyle w:val="21"/>
          <w:tabs>
            <w:tab w:val="center" w:pos="4153"/>
            <w:tab w:val="right" w:pos="8306"/>
          </w:tabs>
          <w:rPr>
            <w:rFonts w:ascii="CESI仿宋-GB2312" w:eastAsia="CESI仿宋-GB2312"/>
            <w:sz w:val="32"/>
          </w:rPr>
        </w:pPr>
        <w:r>
          <w:rPr>
            <w:rFonts w:ascii="CESI仿宋-GB2312" w:eastAsia="CESI仿宋-GB2312"/>
            <w:sz w:val="32"/>
          </w:rPr>
          <w:fldChar w:fldCharType="begin"/>
        </w:r>
        <w:r>
          <w:rPr>
            <w:rFonts w:ascii="CESI仿宋-GB2312" w:eastAsia="CESI仿宋-GB2312"/>
            <w:sz w:val="32"/>
          </w:rPr>
          <w:instrText>PAGE   \* MERGEFORMAT</w:instrText>
        </w:r>
        <w:r>
          <w:rPr>
            <w:rFonts w:ascii="CESI仿宋-GB2312" w:eastAsia="CESI仿宋-GB2312"/>
            <w:sz w:val="32"/>
          </w:rPr>
          <w:fldChar w:fldCharType="separate"/>
        </w:r>
        <w:r>
          <w:rPr>
            <w:rFonts w:ascii="CESI仿宋-GB2312" w:eastAsia="CESI仿宋-GB2312"/>
            <w:sz w:val="32"/>
            <w:lang w:val="zh-CN"/>
          </w:rPr>
          <w:t>-</w:t>
        </w:r>
        <w:r>
          <w:rPr>
            <w:rFonts w:ascii="CESI仿宋-GB2312" w:eastAsia="CESI仿宋-GB2312"/>
            <w:sz w:val="32"/>
          </w:rPr>
          <w:t xml:space="preserve"> 1 -</w:t>
        </w:r>
        <w:r>
          <w:rPr>
            <w:rFonts w:ascii="CESI仿宋-GB2312" w:eastAsia="CESI仿宋-GB2312"/>
            <w:sz w:val="32"/>
          </w:rPr>
          <w:fldChar w:fldCharType="end"/>
        </w:r>
      </w:p>
    </w:sdtContent>
  </w:sdt>
  <w:p/>
  <w:p/>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720"/>
  <w:drawingGridHorizontalSpacing w:val="110"/>
  <w:drawingGridVerticalSpacing w:val="156"/>
  <w:displayHorizontalDrawingGridEvery w:val="0"/>
  <w:displayVerticalDrawingGridEvery w:val="1"/>
  <w:noPunctuationKerning/>
  <w:compat>
    <w:spaceForUL/>
    <w:doNotExpandShiftReturn/>
    <w:compatSetting w:name="compatibilityMode" w:uri="http://schemas.microsoft.com/office/word" w:val="15"/>
  </w:compat>
  <w:docVars>
    <w:docVar w:name="commondata" w:val="eyJoZGlkIjoiZDgyM2JlODA5MWIzOGY3MzhmNjVhY2M4NzM5MWFhM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autoRedefine/>
    <w:pPr>
      <w:adjustRightInd w:val="0"/>
      <w:snapToGrid w:val="0"/>
      <w:spacing w:after="200" w:line="264" w:lineRule="auto"/>
      <w:jc w:val="center"/>
    </w:pPr>
    <w:rPr>
      <w:rFonts w:ascii="黑体" w:eastAsia="黑体" w:cs="黑体" w:hAnsi="Times New Roman"/>
      <w:sz w:val="32"/>
      <w:szCs w:val="32"/>
      <w:lang w:val="en-US" w:eastAsia="zh-CN" w:bidi="ar-SA"/>
    </w:rPr>
  </w:style>
  <w:style w:type="paragraph" w:styleId="1">
    <w:name w:val="heading 1"/>
    <w:basedOn w:val="0"/>
    <w:autoRedefine/>
    <w:next w:val="0"/>
    <w:pPr>
      <w:keepNext/>
      <w:keepLines/>
      <w:spacing w:before="340" w:after="0" w:line="578" w:lineRule="auto"/>
      <w:jc w:val="left"/>
      <w:outlineLvl w:val="0"/>
    </w:pPr>
    <w:rPr>
      <w:rFonts w:ascii="CESI黑体-GB2312" w:eastAsia="CESI黑体-GB2312"/>
      <w:b/>
      <w:bCs/>
      <w:kern w:val="44"/>
    </w:rPr>
  </w:style>
  <w:style w:type="paragraph" w:styleId="2">
    <w:name w:val="heading 2"/>
    <w:basedOn w:val="0"/>
    <w:autoRedefine/>
    <w:next w:val="0"/>
    <w:pPr>
      <w:keepNext/>
      <w:keepLines/>
      <w:spacing w:before="260" w:after="260" w:line="415" w:lineRule="auto"/>
      <w:jc w:val="left"/>
      <w:outlineLvl w:val="1"/>
    </w:pPr>
    <w:rPr>
      <w:rFonts w:hAnsi="Cambria"/>
      <w:b/>
      <w:bCs/>
    </w:rPr>
  </w:style>
  <w:style w:type="paragraph" w:styleId="3">
    <w:name w:val="heading 3"/>
    <w:basedOn w:val="0"/>
    <w:autoRedefine/>
    <w:next w:val="0"/>
    <w:pPr>
      <w:keepNext/>
      <w:keepLines/>
      <w:spacing w:before="260" w:after="260" w:line="415" w:lineRule="auto"/>
      <w:outlineLvl w:val="2"/>
    </w:pPr>
    <w:rPr>
      <w:b/>
      <w:bCs/>
    </w:rPr>
  </w:style>
  <w:style w:type="character" w:default="1" w:styleId="10">
    <w:name w:val="Default Paragraph Font"/>
  </w:style>
  <w:style w:type="paragraph" w:styleId="15">
    <w:name w:val="caption"/>
    <w:basedOn w:val="0"/>
    <w:autoRedefine/>
    <w:next w:val="0"/>
    <w:rPr>
      <w:rFonts w:ascii="Cambria" w:eastAsia="黑体" w:cs="Times New Roman" w:hAnsi="Cambria"/>
      <w:sz w:val="20"/>
      <w:szCs w:val="20"/>
    </w:rPr>
  </w:style>
  <w:style w:type="paragraph" w:styleId="16">
    <w:name w:val="Document Map"/>
    <w:basedOn w:val="0"/>
    <w:autoRedefine/>
    <w:rPr>
      <w:rFonts w:ascii="方正兰亭黑_GBK" w:eastAsia="方正兰亭黑_GBK"/>
      <w:sz w:val="18"/>
      <w:szCs w:val="18"/>
    </w:rPr>
  </w:style>
  <w:style w:type="paragraph" w:styleId="17">
    <w:name w:val="annotation text"/>
    <w:basedOn w:val="0"/>
    <w:autoRedefine/>
  </w:style>
  <w:style w:type="paragraph" w:styleId="18">
    <w:name w:val="toc 3"/>
    <w:basedOn w:val="0"/>
    <w:autoRedefine/>
    <w:next w:val="0"/>
    <w:pPr>
      <w:ind w:leftChars="400" w:left="400"/>
    </w:pPr>
  </w:style>
  <w:style w:type="paragraph" w:styleId="19">
    <w:name w:val="Date"/>
    <w:basedOn w:val="0"/>
    <w:autoRedefine/>
    <w:next w:val="0"/>
    <w:pPr>
      <w:ind w:leftChars="2500" w:left="2500"/>
    </w:pPr>
  </w:style>
  <w:style w:type="paragraph" w:styleId="20">
    <w:name w:val="Balloon Text"/>
    <w:basedOn w:val="0"/>
    <w:autoRedefine/>
    <w:pPr>
      <w:spacing w:after="0"/>
    </w:pPr>
    <w:rPr>
      <w:sz w:val="18"/>
      <w:szCs w:val="18"/>
    </w:rPr>
  </w:style>
  <w:style w:type="paragraph" w:styleId="21">
    <w:name w:val="footer"/>
    <w:basedOn w:val="0"/>
    <w:autoRedefine/>
    <w:pPr>
      <w:tabs>
        <w:tab w:val="center" w:pos="4153"/>
        <w:tab w:val="right" w:pos="8306"/>
      </w:tabs>
    </w:pPr>
    <w:rPr>
      <w:sz w:val="18"/>
      <w:szCs w:val="18"/>
    </w:rPr>
  </w:style>
  <w:style w:type="paragraph" w:styleId="22">
    <w:name w:val="header"/>
    <w:basedOn w:val="0"/>
    <w:autoRedefine/>
    <w:pPr>
      <w:pBdr>
        <w:bottom w:val="single" w:sz="6" w:space="1" w:color="auto"/>
      </w:pBdr>
      <w:tabs>
        <w:tab w:val="center" w:pos="4153"/>
        <w:tab w:val="right" w:pos="8306"/>
      </w:tabs>
    </w:pPr>
    <w:rPr>
      <w:sz w:val="18"/>
      <w:szCs w:val="18"/>
    </w:rPr>
  </w:style>
  <w:style w:type="paragraph" w:styleId="23">
    <w:name w:val="toc 1"/>
    <w:basedOn w:val="0"/>
    <w:autoRedefine/>
    <w:next w:val="0"/>
  </w:style>
  <w:style w:type="paragraph" w:styleId="24">
    <w:name w:val="toc 2"/>
    <w:basedOn w:val="0"/>
    <w:autoRedefine/>
    <w:next w:val="0"/>
    <w:pPr>
      <w:ind w:leftChars="200" w:left="200"/>
    </w:pPr>
  </w:style>
  <w:style w:type="paragraph" w:styleId="25">
    <w:name w:val="Normal (Web)"/>
    <w:basedOn w:val="0"/>
    <w:pPr>
      <w:spacing w:before="100" w:beforeAutospacing="1" w:after="100" w:afterAutospacing="1"/>
    </w:pPr>
    <w:rPr>
      <w:rFonts w:cs="Times New Roman"/>
      <w:sz w:val="24"/>
    </w:rPr>
  </w:style>
  <w:style w:type="paragraph" w:styleId="26">
    <w:name w:val="annotation subject"/>
    <w:basedOn w:val="17"/>
    <w:autoRedefine/>
    <w:next w:val="17"/>
    <w:rPr>
      <w:b/>
      <w:bCs/>
    </w:rPr>
  </w:style>
  <w:style w:type="character" w:styleId="27">
    <w:name w:val="page number"/>
    <w:basedOn w:val="10"/>
    <w:autoRedefine/>
  </w:style>
  <w:style w:type="character" w:styleId="28">
    <w:name w:val="Hyperlink"/>
    <w:basedOn w:val="10"/>
    <w:autoRedefine/>
    <w:rPr>
      <w:color w:val="0000FF"/>
      <w:u w:val="single"/>
    </w:rPr>
  </w:style>
  <w:style w:type="character" w:styleId="29">
    <w:name w:val="annotation reference"/>
    <w:basedOn w:val="10"/>
    <w:autoRedefine/>
    <w:rPr>
      <w:sz w:val="21"/>
      <w:szCs w:val="21"/>
    </w:rPr>
  </w:style>
  <w:style w:type="paragraph" w:customStyle="1" w:styleId="30">
    <w:name w:val="样式 四号 行距: 1.5 倍行距 首行缩进:  2 字符"/>
    <w:basedOn w:val="0"/>
    <w:autoRedefine/>
    <w:pPr>
      <w:widowControl w:val="0"/>
      <w:spacing w:after="0" w:line="530" w:lineRule="exact"/>
      <w:ind w:firstLineChars="200" w:firstLine="200"/>
      <w:jc w:val="both"/>
    </w:pPr>
    <w:rPr>
      <w:rFonts w:ascii="仿宋" w:eastAsia="仿宋" w:cs="Times New Roman" w:hAnsi="仿宋"/>
    </w:rPr>
  </w:style>
  <w:style w:type="paragraph" w:customStyle="1" w:styleId="31">
    <w:name w:val="Char Char Char Char Char Char Char"/>
    <w:basedOn w:val="0"/>
    <w:autoRedefine/>
    <w:pPr>
      <w:widowControl w:val="0"/>
      <w:tabs>
        <w:tab w:val="left" w:pos="1723"/>
      </w:tabs>
      <w:adjustRightInd/>
      <w:snapToGrid/>
      <w:spacing w:after="0"/>
      <w:ind w:left="1723" w:hanging="1080"/>
      <w:jc w:val="both"/>
    </w:pPr>
    <w:rPr>
      <w:rFonts w:ascii="Times New Roman" w:eastAsia="仿宋_GB2312" w:cs="Times New Roman" w:hAnsi="Times New Roman"/>
      <w:kern w:val="2"/>
      <w:sz w:val="24"/>
    </w:rPr>
  </w:style>
  <w:style w:type="paragraph" w:customStyle="1" w:styleId="32">
    <w:name w:val="TOC 标题1"/>
    <w:basedOn w:val="1"/>
    <w:autoRedefine/>
    <w:next w:val="0"/>
    <w:pPr>
      <w:adjustRightInd/>
      <w:snapToGrid/>
      <w:spacing w:before="480" w:line="312" w:lineRule="auto"/>
      <w:outlineLvl w:val="9"/>
    </w:pPr>
    <w:rPr>
      <w:rFonts w:ascii="Cambria" w:eastAsia="宋体" w:cs="Times New Roman" w:hAnsi="Cambria"/>
      <w:color w:val="365F91"/>
      <w:kern w:val="0"/>
      <w:sz w:val="28"/>
      <w:szCs w:val="28"/>
    </w:rPr>
  </w:style>
  <w:style w:type="paragraph" w:styleId="33">
    <w:name w:val="List Paragraph"/>
    <w:basedOn w:val="0"/>
    <w:autoRedefine/>
    <w:pPr>
      <w:ind w:firstLineChars="200" w:firstLine="200"/>
    </w:pPr>
  </w:style>
  <w:style w:type="paragraph" w:customStyle="1" w:styleId="34">
    <w:name w:val="修订1"/>
    <w:autoRedefine/>
    <w:rPr>
      <w:rFonts w:ascii="Tahoma" w:eastAsia="微软雅黑" w:cs="Arial" w:hAnsi="Tahoma"/>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image" Target="media/7.jpeg"/><Relationship Id="rId9" Type="http://schemas.openxmlformats.org/officeDocument/2006/relationships/styles" Target="styles.xml"/><Relationship Id="rId10" Type="http://schemas.openxmlformats.org/officeDocument/2006/relationships/fontTable" Target="fontTable.xml"/><Relationship Id="rId1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数量(起)</c:v>
          </c:tx>
          <c:spPr>
            <a:ln w="25400">
              <a:solidFill>
                <a:srgbClr val="4F81BD"/>
              </a:solidFill>
              <a:prstDash val="solid"/>
            </a:ln>
          </c:spPr>
          <c:marker>
            <c:symbol val="none"/>
          </c:marker>
          <c:dLbls>
            <c:spPr>
              <a:noFill/>
              <a:ln>
                <a:noFill/>
              </a:ln>
            </c:spPr>
            <c:txPr>
              <a:bodyPr vert="horz"/>
              <a:lstStyle/>
              <a:p>
                <a:pPr>
                  <a:defRPr sz="1000" b="0" i="0" u="none" strike="noStrike" baseline="0">
                    <a:solidFill>
                      <a:srgbClr val="404040"/>
                    </a:solidFill>
                    <a:latin typeface="宋体"/>
                    <a:ea typeface="宋体"/>
                    <a:cs typeface="Lucida Sans"/>
                  </a:defRPr>
                </a:pPr>
                <a:endParaRPr lang="zh-CN"/>
              </a:p>
            </c:txPr>
            <c:numFmt formatCode="General" sourceLinked="0"/>
            <c:dLblPos val="t"/>
            <c:showLegendKey val="0"/>
            <c:showVal val="1"/>
            <c:showCatName val="0"/>
            <c:showSerName val="0"/>
            <c:showPercent val="0"/>
            <c:showBubbleSize val="0"/>
            <c:separator>.</c:separator>
            <c:showLeaderLines val="1"/>
            <c:extLst>
              <c:ext xmlns:c15="http://schemas.microsoft.com/office/drawing/2012/chart" uri="{CE6537A1-D6FC-4f65-9D91-7224C49458BB}">
                <c15:showLeaderLines val="1"/>
              </c:ext>
            </c:extLst>
          </c:dLbls>
          <c:cat>
            <c:strLit>
              <c:ptCount val="7"/>
              <c:pt idx="0">
                <c:v>白山</c:v>
              </c:pt>
              <c:pt idx="1">
                <c:v>通化</c:v>
              </c:pt>
              <c:pt idx="2">
                <c:v>吉林</c:v>
              </c:pt>
              <c:pt idx="3">
                <c:v>延边</c:v>
              </c:pt>
              <c:pt idx="4">
                <c:v>长白山</c:v>
              </c:pt>
              <c:pt idx="5">
                <c:v>四平</c:v>
              </c:pt>
              <c:pt idx="6">
                <c:v>长春</c:v>
              </c:pt>
            </c:strLit>
          </c:cat>
          <c:val>
            <c:numRef>
              <c:f/>
              <c:numCache>
                <c:formatCode>General</c:formatCode>
                <c:ptCount val="7"/>
                <c:pt idx="0">
                  <c:v>169.0</c:v>
                </c:pt>
                <c:pt idx="1">
                  <c:v>41.0</c:v>
                </c:pt>
                <c:pt idx="2">
                  <c:v>4.0</c:v>
                </c:pt>
                <c:pt idx="3">
                  <c:v>2.0</c:v>
                </c:pt>
                <c:pt idx="4">
                  <c:v>1.0</c:v>
                </c:pt>
                <c:pt idx="5">
                  <c:v>1.0</c:v>
                </c:pt>
                <c:pt idx="6">
                  <c:v>1.0</c:v>
                </c:pt>
              </c:numCache>
            </c:numRef>
          </c:val>
          <c:smooth val="0"/>
        </c:ser>
        <c:marker val="1"/>
        <c:smooth val="0"/>
        <c:axId val="0"/>
        <c:axId val="1"/>
      </c:lineChart>
      <c:scatterChart>
        <c:scatterStyle val="marker"/>
        <c:varyColors val="0"/>
        <c:ser>
          <c:idx val="1"/>
          <c:order val="1"/>
          <c:tx>
            <c:v>数量占比</c:v>
          </c:tx>
          <c:spPr>
            <a:ln>
              <a:noFill/>
            </a:ln>
          </c:spPr>
          <c:marker>
            <c:symbol val="circle"/>
            <c:size val="5"/>
            <c:spPr>
              <a:solidFill>
                <a:srgbClr val="c0504d"/>
              </a:solidFill>
              <a:ln>
                <a:solidFill>
                  <a:srgbClr val="c0504d"/>
                </a:solidFill>
                <a:prstDash val="solid"/>
              </a:ln>
            </c:spPr>
          </c:marker>
          <c:dLbls>
            <c:spPr>
              <a:noFill/>
              <a:ln>
                <a:noFill/>
              </a:ln>
            </c:spPr>
            <c:txPr>
              <a:bodyPr vert="horz"/>
              <a:lstStyle/>
              <a:p>
                <a:pPr>
                  <a:defRPr sz="1000" b="0" i="0" u="none" strike="noStrike" baseline="0">
                    <a:solidFill>
                      <a:srgbClr val="404040"/>
                    </a:solidFill>
                    <a:latin typeface="宋体"/>
                    <a:ea typeface="宋体"/>
                    <a:cs typeface="Lucida Sans"/>
                  </a:defRPr>
                </a:pPr>
                <a:endParaRPr lang="zh-CN"/>
              </a:p>
            </c:txPr>
            <c:numFmt formatCode="0.00%" sourceLinked="0"/>
            <c:dLblPos val="l"/>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xVal>
            <c:strLit>
              <c:ptCount val="7"/>
              <c:pt idx="0">
                <c:v>白山</c:v>
              </c:pt>
              <c:pt idx="1">
                <c:v>通化</c:v>
              </c:pt>
              <c:pt idx="2">
                <c:v>吉林</c:v>
              </c:pt>
              <c:pt idx="3">
                <c:v>延边</c:v>
              </c:pt>
              <c:pt idx="4">
                <c:v>长白山</c:v>
              </c:pt>
              <c:pt idx="5">
                <c:v>四平</c:v>
              </c:pt>
              <c:pt idx="6">
                <c:v>长春</c:v>
              </c:pt>
            </c:strLit>
          </c:xVal>
          <c:yVal>
            <c:numRef>
              <c:f/>
              <c:numCache>
                <c:formatCode>General</c:formatCode>
                <c:ptCount val="7"/>
                <c:pt idx="0">
                  <c:v>0.7716</c:v>
                </c:pt>
                <c:pt idx="1">
                  <c:v>0.1872</c:v>
                </c:pt>
                <c:pt idx="2">
                  <c:v>0.0183</c:v>
                </c:pt>
                <c:pt idx="3">
                  <c:v>0.0091</c:v>
                </c:pt>
                <c:pt idx="4">
                  <c:v>0.0046</c:v>
                </c:pt>
                <c:pt idx="5">
                  <c:v>0.0046</c:v>
                </c:pt>
                <c:pt idx="6">
                  <c:v>0.0046</c:v>
                </c:pt>
              </c:numCache>
            </c:numRef>
          </c:yVal>
          <c:smooth val="0"/>
        </c:ser>
        <c:axId val="2"/>
        <c:axId val="3"/>
      </c:scatterChart>
      <c:catAx>
        <c:axId val="0"/>
        <c:scaling>
          <c:orientation val="minMax"/>
        </c:scaling>
        <c:delete val="0"/>
        <c:axPos val="b"/>
        <c:numFmt formatCode="General" sourceLinked="0"/>
        <c:majorGridlines>
          <c:spPr>
            <a:ln w="6350">
              <a:solidFill>
                <a:srgbClr val="E6E6E6"/>
              </a:solidFill>
              <a:prstDash val="solid"/>
            </a:ln>
          </c:spPr>
        </c:majorGridlines>
        <c:majorTickMark val="out"/>
        <c:minorTickMark val="none"/>
        <c:tickLblPos val="nextTo"/>
        <c:spPr>
          <a:ln w="6350">
            <a:solidFill>
              <a:srgbClr val="D9D9D9"/>
            </a:solidFill>
            <a:prstDash val="solid"/>
          </a:ln>
        </c:spPr>
        <c:txPr>
          <a:bodyPr/>
          <a:lstStyle/>
          <a:p>
            <a:pPr>
              <a:defRPr sz="900" b="0" i="0" u="none" strike="noStrike" baseline="0">
                <a:solidFill>
                  <a:srgbClr val="595959"/>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title>
          <c:tx>
            <c:rich>
              <a:bodyPr rot="-5400000" vert="horz"/>
              <a:lstStyle/>
              <a:p>
                <a:pPr>
                  <a:defRPr sz="1000" b="0" i="0" u="none" strike="noStrike" baseline="0">
                    <a:solidFill>
                      <a:srgbClr val="595959"/>
                    </a:solidFill>
                    <a:latin typeface="宋体"/>
                    <a:ea typeface="宋体"/>
                    <a:cs typeface="Lucida Sans"/>
                  </a:defRPr>
                </a:pPr>
                <a:r>
                  <a:rPr lang="zh-CN"/>
                  <a:t>数量（起）</a:t>
                </a:r>
              </a:p>
            </c:rich>
          </c:tx>
          <c:layout/>
          <c:overlay val="0"/>
          <c:spPr>
            <a:noFill/>
            <a:ln>
              <a:noFill/>
            </a:ln>
          </c:spPr>
        </c:title>
        <c:numFmt formatCode="General" sourceLinked="1"/>
        <c:majorTickMark val="out"/>
        <c:minorTickMark val="none"/>
        <c:tickLblPos val="nextTo"/>
        <c:spPr>
          <a:ln>
            <a:noFill/>
          </a:ln>
        </c:spPr>
        <c:txPr>
          <a:bodyPr/>
          <a:lstStyle/>
          <a:p>
            <a:pPr>
              <a:defRPr sz="1000" b="0" i="0" u="none" strike="noStrike" baseline="0">
                <a:solidFill>
                  <a:srgbClr val="595959"/>
                </a:solidFill>
                <a:latin typeface="宋体"/>
                <a:ea typeface="宋体"/>
                <a:cs typeface="Lucida Sans"/>
              </a:defRPr>
            </a:pPr>
            <a:endParaRPr lang="zh-CN"/>
          </a:p>
        </c:txPr>
        <c:crossesAt val="1.0"/>
        <c:crossBetween val="between"/>
        <c:majorUnit val="40.0"/>
        <c:crossAx val="0"/>
      </c:valAx>
      <c:valAx>
        <c:axId val="2"/>
        <c:scaling>
          <c:orientation val="minMax"/>
        </c:scaling>
        <c:delete val="1"/>
        <c:axPos val="t"/>
        <c:numFmt formatCode="General" sourceLinked="1"/>
        <c:majorTickMark val="out"/>
        <c:minorTickMark val="none"/>
        <c:tickLblPos val="nextTo"/>
        <c:txPr>
          <a:bodyPr/>
          <a:lstStyle/>
          <a:p>
            <a:pPr>
              <a:defRPr sz="1000" b="0" i="0" u="none" strike="noStrike" baseline="0">
                <a:solidFill>
                  <a:srgbClr val="000000"/>
                </a:solidFill>
                <a:latin typeface="宋体"/>
                <a:ea typeface="宋体"/>
                <a:cs typeface="Lucida Sans"/>
              </a:defRPr>
            </a:pPr>
            <a:endParaRPr lang="zh-CN"/>
          </a:p>
        </c:txPr>
        <c:crosses val="max"/>
        <c:crossBetween val="midCat"/>
        <c:crossAx val="3"/>
      </c:valAx>
      <c:valAx>
        <c:axId val="3"/>
        <c:scaling>
          <c:orientation val="minMax"/>
          <c:min val="0.0"/>
          <c:max val="1.0"/>
        </c:scaling>
        <c:delete val="0"/>
        <c:axPos val="r"/>
        <c:majorGridlines>
          <c:spPr>
            <a:ln w="6350">
              <a:solidFill>
                <a:srgbClr val="E6E6E6"/>
              </a:solidFill>
              <a:prstDash val="solid"/>
            </a:ln>
          </c:spPr>
        </c:majorGridlines>
        <c:numFmt formatCode="0%" sourceLinked="0"/>
        <c:majorTickMark val="out"/>
        <c:minorTickMark val="none"/>
        <c:tickLblPos val="nextTo"/>
        <c:spPr>
          <a:ln>
            <a:noFill/>
          </a:ln>
        </c:spPr>
        <c:txPr>
          <a:bodyPr rot="0" vert="horz" anchor="t" anchorCtr="0"/>
          <a:lstStyle/>
          <a:p>
            <a:pPr>
              <a:defRPr sz="1000" b="0" i="0" u="none" strike="noStrike" baseline="0">
                <a:solidFill>
                  <a:srgbClr val="595959"/>
                </a:solidFill>
                <a:latin typeface="宋体"/>
                <a:ea typeface="宋体"/>
                <a:cs typeface="Lucida Sans"/>
              </a:defRPr>
            </a:pPr>
            <a:endParaRPr lang="zh-CN"/>
          </a:p>
        </c:txPr>
        <c:crosses val="max"/>
        <c:crossBetween val="midCat"/>
        <c:majorUnit val="0.2"/>
        <c:minorUnit val="0.2"/>
        <c:crossAx val="2"/>
      </c:valAx>
      <c:spPr>
        <a:noFill/>
        <a:ln>
          <a:noFill/>
        </a:ln>
      </c:spPr>
    </c:plotArea>
    <c:legend>
      <c:legendPos val="t"/>
      <c:layout/>
      <c:overlay val="0"/>
      <c:spPr>
        <a:noFill/>
        <a:ln>
          <a:noFill/>
        </a:ln>
      </c:spPr>
      <c:txPr>
        <a:bodyPr/>
        <a:lstStyle/>
        <a:p>
          <a:pPr>
            <a:defRPr sz="900" b="0" i="0" u="none" strike="noStrike" baseline="0">
              <a:solidFill>
                <a:srgbClr val="595959"/>
              </a:solidFill>
              <a:latin typeface="宋体"/>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595959"/>
                </a:solidFill>
                <a:latin typeface="宋体"/>
                <a:ea typeface="宋体"/>
                <a:cs typeface="Lucida Sans"/>
              </a:defRPr>
            </a:pPr>
            <a:r>
              <a:rPr lang="zh-CN"/>
              <a:t>近十年平均灾害数</a:t>
            </a:r>
          </a:p>
        </c:rich>
      </c:tx>
      <c:layout>
        <c:manualLayout>
          <c:xMode val="edge"/>
          <c:yMode val="edge"/>
          <c:x val="0.6408333"/>
          <c:y val="0.090277776"/>
        </c:manualLayout>
      </c:layout>
      <c:overlay val="0"/>
      <c:spPr>
        <a:noFill/>
        <a:ln>
          <a:noFill/>
        </a:ln>
      </c:spPr>
    </c:title>
    <c:autoTitleDeleted val="1"/>
    <c:plotArea>
      <c:layout>
        <c:manualLayout>
          <c:layoutTarget val="inner"/>
          <c:xMode val="edge"/>
          <c:yMode val="edge"/>
          <c:x val="0.1273611"/>
          <c:y val="0.15439814"/>
          <c:w val="0.8441667"/>
          <c:h val="0.6101852"/>
        </c:manualLayout>
      </c:layout>
      <c:lineChart>
        <c:grouping val="stacked"/>
        <c:varyColors val="0"/>
        <c:ser>
          <c:idx val="1"/>
          <c:order val="0"/>
          <c:tx>
            <c:v>历史灾害数</c:v>
          </c:tx>
          <c:spPr>
            <a:ln w="6350">
              <a:solidFill>
                <a:srgbClr val="4F81BD"/>
              </a:solidFill>
              <a:prstDash val="solid"/>
            </a:ln>
          </c:spPr>
          <c:marker>
            <c:symbol val="none"/>
          </c:marker>
          <c:dLbls>
            <c:spPr>
              <a:noFill/>
              <a:ln>
                <a:noFill/>
              </a:ln>
            </c:spPr>
            <c:txPr>
              <a:bodyPr vert="horz"/>
              <a:lstStyle/>
              <a:p>
                <a:pPr>
                  <a:defRPr sz="1000" b="0" i="0" u="none" strike="noStrike" baseline="0">
                    <a:solidFill>
                      <a:srgbClr val="404040"/>
                    </a:solidFill>
                    <a:latin typeface="宋体"/>
                    <a:ea typeface="宋体"/>
                    <a:cs typeface="Lucida Sans"/>
                  </a:defRPr>
                </a:pPr>
                <a:endParaRPr lang="zh-CN"/>
              </a:p>
            </c:txPr>
            <c:numFmt formatCode="General" sourceLinked="0"/>
            <c:dLblPos val="t"/>
            <c:showLegendKey val="0"/>
            <c:showVal val="1"/>
            <c:showCatName val="0"/>
            <c:showSerName val="0"/>
            <c:showPercent val="0"/>
            <c:showBubbleSize val="0"/>
            <c:showLeaderLines val="0"/>
          </c:dLbls>
          <c:cat>
            <c:numRef>
              <c:numCache>
                <c:ptCount val="10"/>
                <c:pt idx="0">
                  <c:v>2015</c:v>
                </c:pt>
                <c:pt idx="1">
                  <c:v>2016</c:v>
                </c:pt>
                <c:pt idx="2">
                  <c:v>2017</c:v>
                </c:pt>
                <c:pt idx="3">
                  <c:v>2018</c:v>
                </c:pt>
                <c:pt idx="4">
                  <c:v>2019</c:v>
                </c:pt>
                <c:pt idx="5">
                  <c:v>2020</c:v>
                </c:pt>
                <c:pt idx="6">
                  <c:v>2021</c:v>
                </c:pt>
                <c:pt idx="7">
                  <c:v>2022</c:v>
                </c:pt>
                <c:pt idx="8">
                  <c:v>2023</c:v>
                </c:pt>
                <c:pt idx="9">
                  <c:v>2024</c:v>
                </c:pt>
              </c:numCache>
            </c:numRef>
          </c:cat>
          <c:val>
            <c:numRef>
              <c:f/>
              <c:numCache>
                <c:formatCode>General</c:formatCode>
                <c:ptCount val="10"/>
                <c:pt idx="0">
                  <c:v>21.0</c:v>
                </c:pt>
                <c:pt idx="1">
                  <c:v>15.0</c:v>
                </c:pt>
                <c:pt idx="2">
                  <c:v>63.0</c:v>
                </c:pt>
                <c:pt idx="3">
                  <c:v>6.0</c:v>
                </c:pt>
                <c:pt idx="4">
                  <c:v>48.0</c:v>
                </c:pt>
                <c:pt idx="5">
                  <c:v>35.0</c:v>
                </c:pt>
                <c:pt idx="6">
                  <c:v>11.0</c:v>
                </c:pt>
                <c:pt idx="7">
                  <c:v>56.0</c:v>
                </c:pt>
                <c:pt idx="8">
                  <c:v>22.0</c:v>
                </c:pt>
                <c:pt idx="9">
                  <c:v>219.0</c:v>
                </c:pt>
              </c:numCache>
            </c:numRef>
          </c:val>
          <c:smooth val="0"/>
        </c:ser>
        <c:marker val="1"/>
        <c:smooth val="0"/>
        <c:axId val="0"/>
        <c:axId val="1"/>
      </c:lineChart>
      <c:catAx>
        <c:axId val="0"/>
        <c:scaling>
          <c:orientation val="minMax"/>
        </c:scaling>
        <c:delete val="0"/>
        <c:axPos val="b"/>
        <c:numFmt formatCode="General" sourceLinked="0"/>
        <c:majorGridlines>
          <c:spPr>
            <a:ln w="6350">
              <a:solidFill>
                <a:srgbClr val="D9D9D9"/>
              </a:solidFill>
              <a:prstDash val="solid"/>
            </a:ln>
          </c:spPr>
        </c:majorGridlines>
        <c:majorTickMark val="none"/>
        <c:minorTickMark val="none"/>
        <c:tickLblPos val="nextTo"/>
        <c:spPr>
          <a:ln w="6350">
            <a:solidFill>
              <a:srgbClr val="D9D9D9"/>
            </a:solidFill>
            <a:prstDash val="solid"/>
          </a:ln>
        </c:spPr>
        <c:txPr>
          <a:bodyPr/>
          <a:lstStyle/>
          <a:p>
            <a:pPr>
              <a:defRPr sz="1000" b="0" i="0" u="none" strike="noStrike" baseline="0">
                <a:solidFill>
                  <a:srgbClr val="595959"/>
                </a:solidFill>
                <a:latin typeface="宋体"/>
                <a:ea typeface="宋体"/>
                <a:cs typeface="Lucida Sans"/>
              </a:defRPr>
            </a:pPr>
            <a:endParaRPr lang="zh-CN"/>
          </a:p>
        </c:txPr>
        <c:crosses val="autoZero"/>
        <c:auto val="1"/>
        <c:lblOffset val="100"/>
        <c:lblAlgn val="ctr"/>
        <c:noMultiLvlLbl val="0"/>
        <c:crossAx val="1"/>
      </c:catAx>
      <c:valAx>
        <c:axId val="1"/>
        <c:scaling>
          <c:orientation val="minMax"/>
          <c:max val="240.0"/>
        </c:scaling>
        <c:delete val="0"/>
        <c:axPos val="l"/>
        <c:majorGridlines>
          <c:spPr>
            <a:ln w="6350">
              <a:solidFill>
                <a:srgbClr val="D9D9D9"/>
              </a:solidFill>
              <a:prstDash val="solid"/>
            </a:ln>
          </c:spPr>
        </c:majorGridlines>
        <c:title>
          <c:tx>
            <c:rich>
              <a:bodyPr rot="-5400000" vert="horz"/>
              <a:lstStyle/>
              <a:p>
                <a:pPr>
                  <a:defRPr sz="1000" b="0" i="0" u="none" strike="noStrike" baseline="0">
                    <a:solidFill>
                      <a:srgbClr val="595959"/>
                    </a:solidFill>
                    <a:latin typeface="宋体"/>
                    <a:ea typeface="宋体"/>
                    <a:cs typeface="Lucida Sans"/>
                  </a:defRPr>
                </a:pPr>
                <a:r>
                  <a:rPr lang="zh-CN"/>
                  <a:t>数量（起）</a:t>
                </a:r>
              </a:p>
            </c:rich>
          </c:tx>
          <c:layout/>
          <c:overlay val="0"/>
          <c:spPr>
            <a:noFill/>
            <a:ln>
              <a:noFill/>
            </a:ln>
          </c:spPr>
        </c:title>
        <c:numFmt formatCode="General" sourceLinked="1"/>
        <c:majorTickMark val="none"/>
        <c:minorTickMark val="none"/>
        <c:tickLblPos val="nextTo"/>
        <c:spPr>
          <a:ln>
            <a:noFill/>
          </a:ln>
        </c:spPr>
        <c:txPr>
          <a:bodyPr/>
          <a:lstStyle/>
          <a:p>
            <a:pPr>
              <a:defRPr sz="1000" b="0" i="0" u="none" strike="noStrike" baseline="0">
                <a:solidFill>
                  <a:srgbClr val="595959"/>
                </a:solidFill>
                <a:latin typeface="宋体"/>
                <a:ea typeface="宋体"/>
                <a:cs typeface="Lucida Sans"/>
              </a:defRPr>
            </a:pPr>
            <a:endParaRPr lang="zh-CN"/>
          </a:p>
        </c:txPr>
        <c:crossesAt val="1.0"/>
        <c:crossBetween val="between"/>
        <c:majorUnit val="40.0"/>
        <c:crossAx val="0"/>
      </c:valAx>
      <c:spPr>
        <a:noFill/>
        <a:ln>
          <a:noFill/>
        </a:ln>
      </c:spPr>
    </c:plotArea>
    <c:legend>
      <c:legendPos val="b"/>
      <c:layout>
        <c:manualLayout>
          <c:xMode val="edge"/>
          <c:yMode val="edge"/>
          <c:x val="0.21201389"/>
          <c:y val="0.08263889"/>
        </c:manualLayout>
      </c:layout>
      <c:overlay val="0"/>
      <c:spPr>
        <a:noFill/>
        <a:ln>
          <a:noFill/>
        </a:ln>
      </c:spPr>
      <c:txPr>
        <a:bodyPr/>
        <a:lstStyle/>
        <a:p>
          <a:pPr>
            <a:defRPr sz="1000" b="0" i="0" u="none" strike="noStrike" baseline="0">
              <a:solidFill>
                <a:srgbClr val="595959"/>
              </a:solidFill>
              <a:latin typeface="宋体"/>
              <a:ea typeface="宋体"/>
              <a:cs typeface="Lucida Sans"/>
            </a:defRPr>
          </a:pPr>
          <a:endParaRPr lang="zh-CN"/>
        </a:p>
      </c:txPr>
      <c:legendEntry>
        <c:idx val="0"/>
        <c:txPr>
          <a:bodyPr/>
          <a:lstStyle/>
          <a:p>
            <a:pPr>
              <a:defRPr sz="1000" b="0" i="0" u="none" strike="noStrike" baseline="0">
                <a:solidFill>
                  <a:srgbClr val="595959"/>
                </a:solidFill>
                <a:latin typeface="宋体"/>
                <a:ea typeface="宋体"/>
                <a:cs typeface="Lucida Sans"/>
              </a:defRPr>
            </a:pPr>
            <a:endParaRPr lang="zh-CN"/>
          </a:p>
        </c:txPr>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0"/>
          <c:order val="10"/>
          <c:tx>
            <c:v>十年累计</c:v>
          </c:tx>
          <c:spPr>
            <a:gradFill rotWithShape="1">
              <a:gsLst>
                <a:gs pos="0">
                  <a:srgbClr val="7B7CFA">
                    <a:alpha val="100000"/>
                  </a:srgbClr>
                </a:gs>
                <a:gs pos="100000">
                  <a:srgbClr val="07E3EE">
                    <a:alpha val="100000"/>
                  </a:srgbClr>
                </a:gs>
              </a:gsLst>
              <a:lin ang="5400000" scaled="1"/>
            </a:gradFill>
            <a:ln>
              <a:noFill/>
            </a:ln>
          </c:spPr>
          <c:invertIfNegative val="0"/>
          <c:dLbls>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numFmt formatCode="General" sourceLinked="0"/>
            <c:dLbl>
              <c:idx val="0"/>
              <c:layout>
                <c:manualLayout>
                  <c:x val="-0.0020833334"/>
                  <c:y val="0.020833334"/>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1"/>
              <c:layout>
                <c:manualLayout>
                  <c:x val="0.0020833334"/>
                  <c:y val="0.013888889"/>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2"/>
              <c:layout>
                <c:manualLayout>
                  <c:x val="-0.0018627755"/>
                  <c:y val="0.03125"/>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3"/>
              <c:layout>
                <c:manualLayout>
                  <c:x val="0.0"/>
                  <c:y val="0.020833334"/>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崩塌</c:v>
              </c:pt>
              <c:pt idx="1">
                <c:v>滑坡</c:v>
              </c:pt>
              <c:pt idx="2">
                <c:v>泥石流</c:v>
              </c:pt>
              <c:pt idx="3">
                <c:v>地面塌陷</c:v>
              </c:pt>
            </c:strLit>
          </c:cat>
          <c:val>
            <c:numRef>
              <c:f/>
              <c:numCache>
                <c:formatCode>General</c:formatCode>
                <c:ptCount val="4"/>
                <c:pt idx="0">
                  <c:v>297.0</c:v>
                </c:pt>
                <c:pt idx="1">
                  <c:v>34.0</c:v>
                </c:pt>
                <c:pt idx="2">
                  <c:v>158.0</c:v>
                </c:pt>
                <c:pt idx="3">
                  <c:v>7.0</c:v>
                </c:pt>
              </c:numCache>
            </c:numRef>
          </c:val>
        </c:ser>
        <c:overlap val="-10"/>
        <c:gapWidth val="500"/>
        <c:axId val="0"/>
        <c:axId val="1"/>
      </c:barChart>
      <c:scatterChart>
        <c:scatterStyle val="smooth"/>
        <c:varyColors val="0"/>
        <c:ser>
          <c:idx val="0"/>
          <c:order val="0"/>
          <c:tx>
            <c:v>2015</c:v>
          </c:tx>
          <c:spPr>
            <a:ln w="6350">
              <a:solidFill>
                <a:srgbClr val="4F81BD"/>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6.0</c:v>
                </c:pt>
                <c:pt idx="1">
                  <c:v>1.0</c:v>
                </c:pt>
                <c:pt idx="2">
                  <c:v>11.0</c:v>
                </c:pt>
                <c:pt idx="3">
                  <c:v>3.0</c:v>
                </c:pt>
              </c:numCache>
            </c:numRef>
          </c:yVal>
          <c:smooth val="1"/>
        </c:ser>
        <c:ser>
          <c:idx val="1"/>
          <c:order val="1"/>
          <c:tx>
            <c:v>2016</c:v>
          </c:tx>
          <c:spPr>
            <a:ln w="6350">
              <a:solidFill>
                <a:srgbClr val="C0504D"/>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7.0</c:v>
                </c:pt>
                <c:pt idx="2">
                  <c:v>8.0</c:v>
                </c:pt>
              </c:numCache>
            </c:numRef>
          </c:yVal>
          <c:smooth val="1"/>
        </c:ser>
        <c:ser>
          <c:idx val="2"/>
          <c:order val="2"/>
          <c:tx>
            <c:v>2017</c:v>
          </c:tx>
          <c:spPr>
            <a:ln w="6350">
              <a:solidFill>
                <a:srgbClr val="9BBB59"/>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6.0</c:v>
                </c:pt>
                <c:pt idx="1">
                  <c:v>8.0</c:v>
                </c:pt>
                <c:pt idx="2">
                  <c:v>49.0</c:v>
                </c:pt>
              </c:numCache>
            </c:numRef>
          </c:yVal>
          <c:smooth val="1"/>
        </c:ser>
        <c:ser>
          <c:idx val="3"/>
          <c:order val="3"/>
          <c:tx>
            <c:v>2018</c:v>
          </c:tx>
          <c:spPr>
            <a:ln w="6350">
              <a:solidFill>
                <a:srgbClr val="8064A2"/>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6.0</c:v>
                </c:pt>
              </c:numCache>
            </c:numRef>
          </c:yVal>
          <c:smooth val="1"/>
        </c:ser>
        <c:ser>
          <c:idx val="4"/>
          <c:order val="4"/>
          <c:tx>
            <c:v>2019</c:v>
          </c:tx>
          <c:spPr>
            <a:ln w="6350">
              <a:solidFill>
                <a:srgbClr val="4BACC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35.0</c:v>
                </c:pt>
                <c:pt idx="1">
                  <c:v>8.0</c:v>
                </c:pt>
                <c:pt idx="2">
                  <c:v>2.0</c:v>
                </c:pt>
                <c:pt idx="3">
                  <c:v>3.0</c:v>
                </c:pt>
              </c:numCache>
            </c:numRef>
          </c:yVal>
          <c:smooth val="1"/>
        </c:ser>
        <c:ser>
          <c:idx val="5"/>
          <c:order val="5"/>
          <c:tx>
            <c:v>2020</c:v>
          </c:tx>
          <c:spPr>
            <a:ln w="6350">
              <a:solidFill>
                <a:srgbClr val="F7964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28.0</c:v>
                </c:pt>
                <c:pt idx="1">
                  <c:v>4.0</c:v>
                </c:pt>
                <c:pt idx="2">
                  <c:v>3.0</c:v>
                </c:pt>
              </c:numCache>
            </c:numRef>
          </c:yVal>
          <c:smooth val="1"/>
        </c:ser>
        <c:ser>
          <c:idx val="6"/>
          <c:order val="6"/>
          <c:tx>
            <c:v>2021</c:v>
          </c:tx>
          <c:spPr>
            <a:ln w="6350">
              <a:solidFill>
                <a:srgbClr val="2C4D75"/>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11.0</c:v>
                </c:pt>
                <c:pt idx="1">
                  <c:v>0.0</c:v>
                </c:pt>
                <c:pt idx="2">
                  <c:v>0.0</c:v>
                </c:pt>
                <c:pt idx="3">
                  <c:v>0.0</c:v>
                </c:pt>
              </c:numCache>
            </c:numRef>
          </c:yVal>
          <c:smooth val="1"/>
        </c:ser>
        <c:ser>
          <c:idx val="7"/>
          <c:order val="7"/>
          <c:tx>
            <c:v>2022</c:v>
          </c:tx>
          <c:spPr>
            <a:ln w="6350">
              <a:solidFill>
                <a:srgbClr val="772C2A"/>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44.0</c:v>
                </c:pt>
                <c:pt idx="1">
                  <c:v>1.0</c:v>
                </c:pt>
                <c:pt idx="2">
                  <c:v>10.0</c:v>
                </c:pt>
                <c:pt idx="3">
                  <c:v>1.0</c:v>
                </c:pt>
              </c:numCache>
            </c:numRef>
          </c:yVal>
          <c:smooth val="1"/>
        </c:ser>
        <c:ser>
          <c:idx val="8"/>
          <c:order val="8"/>
          <c:tx>
            <c:v>2023</c:v>
          </c:tx>
          <c:spPr>
            <a:ln w="6350">
              <a:solidFill>
                <a:srgbClr val="5F7530"/>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21.0</c:v>
                </c:pt>
                <c:pt idx="1">
                  <c:v>1.0</c:v>
                </c:pt>
                <c:pt idx="2">
                  <c:v>0.0</c:v>
                </c:pt>
                <c:pt idx="3">
                  <c:v>0.0</c:v>
                </c:pt>
              </c:numCache>
            </c:numRef>
          </c:yVal>
          <c:smooth val="1"/>
        </c:ser>
        <c:ser>
          <c:idx val="9"/>
          <c:order val="9"/>
          <c:tx>
            <c:v>2024</c:v>
          </c:tx>
          <c:spPr>
            <a:ln w="6350">
              <a:solidFill>
                <a:srgbClr val="4D3B62"/>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xVal>
            <c:strLit>
              <c:ptCount val="4"/>
              <c:pt idx="0">
                <c:v>崩塌</c:v>
              </c:pt>
              <c:pt idx="1">
                <c:v>滑坡</c:v>
              </c:pt>
              <c:pt idx="2">
                <c:v>泥石流</c:v>
              </c:pt>
              <c:pt idx="3">
                <c:v>地面塌陷</c:v>
              </c:pt>
            </c:strLit>
          </c:xVal>
          <c:yVal>
            <c:numRef>
              <c:f/>
              <c:numCache>
                <c:formatCode>General</c:formatCode>
                <c:ptCount val="4"/>
                <c:pt idx="0">
                  <c:v>133.0</c:v>
                </c:pt>
                <c:pt idx="1">
                  <c:v>11.0</c:v>
                </c:pt>
                <c:pt idx="2">
                  <c:v>75.0</c:v>
                </c:pt>
              </c:numCache>
            </c:numRef>
          </c:yVal>
          <c:smooth val="1"/>
        </c:ser>
        <c:axId val="2"/>
        <c:axId val="3"/>
      </c:scatte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404040"/>
                </a:solidFill>
                <a:latin typeface="微软雅黑"/>
                <a:ea typeface="微软雅黑"/>
                <a:cs typeface="Lucida Sans"/>
              </a:defRPr>
            </a:pPr>
            <a:endParaRPr lang="zh-CN"/>
          </a:p>
        </c:txPr>
        <c:crosses val="autoZero"/>
        <c:auto val="1"/>
        <c:lblOffset val="100"/>
        <c:lblAlgn val="ctr"/>
        <c:noMultiLvlLbl val="0"/>
        <c:crossAx val="1"/>
      </c:catAx>
      <c:valAx>
        <c:axId val="1"/>
        <c:scaling>
          <c:orientation val="minMax"/>
          <c:max val="320.0"/>
        </c:scaling>
        <c:delete val="0"/>
        <c:axPos val="l"/>
        <c:majorGridlines>
          <c:spPr>
            <a:ln w="6350">
              <a:solidFill>
                <a:srgbClr val="D9D9D9"/>
              </a:solidFill>
              <a:prstDash val="solid"/>
            </a:ln>
          </c:spPr>
        </c:majorGridlines>
        <c:title>
          <c:tx>
            <c:rich>
              <a:bodyPr rot="-5400000" vert="horz"/>
              <a:lstStyle/>
              <a:p>
                <a:pPr>
                  <a:defRPr sz="1000" b="0" i="0" u="none" strike="noStrike" baseline="0">
                    <a:solidFill>
                      <a:srgbClr val="404040"/>
                    </a:solidFill>
                    <a:latin typeface="微软雅黑"/>
                    <a:ea typeface="微软雅黑"/>
                    <a:cs typeface="Lucida Sans"/>
                  </a:defRPr>
                </a:pPr>
                <a:r>
                  <a:rPr lang="zh-CN"/>
                  <a:t>数量（起）</a:t>
                </a:r>
              </a:p>
            </c:rich>
          </c:tx>
          <c:layout/>
          <c:overlay val="0"/>
          <c:spPr>
            <a:noFill/>
            <a:ln>
              <a:noFill/>
            </a:ln>
          </c:spPr>
        </c:title>
        <c:numFmt formatCode="General" sourceLinked="1"/>
        <c:majorTickMark val="none"/>
        <c:minorTickMark val="none"/>
        <c:tickLblPos val="nextTo"/>
        <c:spPr>
          <a:ln>
            <a:noFill/>
          </a:ln>
        </c:spPr>
        <c:txPr>
          <a:bodyPr/>
          <a:lstStyle/>
          <a:p>
            <a:pPr>
              <a:defRPr sz="900" b="0" i="0" u="none" strike="noStrike" baseline="0">
                <a:solidFill>
                  <a:srgbClr val="404040"/>
                </a:solidFill>
                <a:latin typeface="微软雅黑"/>
                <a:ea typeface="微软雅黑"/>
                <a:cs typeface="Lucida Sans"/>
              </a:defRPr>
            </a:pPr>
            <a:endParaRPr lang="zh-CN"/>
          </a:p>
        </c:txPr>
        <c:crossesAt val="1.0"/>
        <c:crossBetween val="between"/>
        <c:majorUnit val="40.0"/>
        <c:crossAx val="0"/>
      </c:valAx>
      <c:valAx>
        <c:axId val="2"/>
        <c:scaling>
          <c:orientation val="minMax"/>
        </c:scaling>
        <c:delete val="1"/>
        <c:axPos val="t"/>
        <c:numFmt formatCode="General" sourceLinked="1"/>
        <c:majorTickMark val="none"/>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 val="max"/>
        <c:crossBetween val="midCat"/>
        <c:crossAx val="3"/>
      </c:valAx>
      <c:valAx>
        <c:axId val="3"/>
        <c:scaling>
          <c:orientation val="minMax"/>
        </c:scaling>
        <c:delete val="1"/>
        <c:axPos val="r"/>
        <c:numFmt formatCode="General" sourceLinked="1"/>
        <c:majorTickMark val="none"/>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 val="max"/>
        <c:crossBetween val="midCat"/>
        <c:crossAx val="2"/>
      </c:valAx>
      <c:spPr>
        <a:noFill/>
        <a:ln w="6350">
          <a:solidFill>
            <a:srgbClr val="D9D9D9"/>
          </a:solidFill>
          <a:prstDash val="solid"/>
        </a:ln>
      </c:spPr>
    </c:plotArea>
    <c:legend>
      <c:legendPos val="r"/>
      <c:layout/>
      <c:overlay val="0"/>
      <c:spPr>
        <a:noFill/>
        <a:ln>
          <a:noFill/>
        </a:ln>
      </c:spPr>
      <c:txPr>
        <a:bodyPr/>
        <a:lstStyle/>
        <a:p>
          <a:pPr>
            <a:defRPr sz="900" b="0" i="0" u="none" strike="noStrike" baseline="0">
              <a:solidFill>
                <a:srgbClr val="404040"/>
              </a:solidFill>
              <a:latin typeface="微软雅黑"/>
              <a:ea typeface="微软雅黑"/>
              <a:cs typeface="Lucida Sans"/>
            </a:defRPr>
          </a:pPr>
          <a:endParaRPr lang="zh-CN"/>
        </a:p>
      </c:txPr>
    </c:legend>
    <c:plotVisOnly val="1"/>
    <c:dispBlanksAs val="gap"/>
    <c:showDLblsOverMax val="0"/>
  </c:chart>
  <c:spPr>
    <a:solidFill>
      <a:srgbClr val="FFFFFF"/>
    </a:solidFill>
    <a:ln w="6350">
      <a:solidFill>
        <a:srgbClr val="D9D9D9"/>
      </a:solidFill>
      <a:prstDash val="solid"/>
    </a:ln>
    <a:effectLst>
      <a:outerShdw blurRad="50800" dist="38100" dir="2700000" algn="tl" rotWithShape="0">
        <a:prstClr val="black">
          <a:alpha val="40000"/>
        </a:prstClr>
      </a:outerShdw>
    </a:effectLst>
  </c:spPr>
  <c:txPr>
    <a:bodyPr/>
    <a:lstStyle/>
    <a:p>
      <a:pPr>
        <a:defRPr sz="1000" b="0" i="0" u="none" strike="noStrike" baseline="0">
          <a:solidFill>
            <a:srgbClr val="40404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十年累计</c:v>
          </c:tx>
          <c:spPr>
            <a:gradFill rotWithShape="1">
              <a:gsLst>
                <a:gs pos="0">
                  <a:srgbClr val="49A2A5">
                    <a:alpha val="100000"/>
                  </a:srgbClr>
                </a:gs>
                <a:gs pos="100000">
                  <a:srgbClr val="00B050">
                    <a:alpha val="100000"/>
                  </a:srgbClr>
                </a:gs>
              </a:gsLst>
              <a:lin ang="5400000" scaled="1"/>
            </a:gradFill>
            <a:ln>
              <a:noFill/>
            </a:ln>
          </c:spPr>
          <c:invertIfNegative val="0"/>
          <c:dLbls>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numFmt formatCode="General" sourceLinked="0"/>
            <c:dLbl>
              <c:idx val="0"/>
              <c:layout>
                <c:manualLayout>
                  <c:x val="0.0"/>
                  <c:y val="0.010416667"/>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1"/>
              <c:layout>
                <c:manualLayout>
                  <c:x val="-0.0020833334"/>
                  <c:y val="0.010416667"/>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2"/>
              <c:layout>
                <c:manualLayout>
                  <c:x val="0.0020833334"/>
                  <c:y val="0.0017361111"/>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7.0</c:v>
                </c:pt>
                <c:pt idx="1">
                  <c:v>39.0</c:v>
                </c:pt>
                <c:pt idx="2">
                  <c:v>446.0</c:v>
                </c:pt>
                <c:pt idx="3">
                  <c:v>4.0</c:v>
                </c:pt>
              </c:numCache>
            </c:numRef>
          </c:val>
        </c:ser>
        <c:gapWidth val="500"/>
        <c:axId val="0"/>
        <c:axId val="1"/>
      </c:barChart>
      <c:lineChart>
        <c:grouping val="standard"/>
        <c:varyColors val="0"/>
        <c:ser>
          <c:idx val="1"/>
          <c:order val="1"/>
          <c:tx>
            <c:v>2015</c:v>
          </c:tx>
          <c:spPr>
            <a:ln w="6350">
              <a:solidFill>
                <a:srgbClr val="C0504D"/>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2.0</c:v>
                </c:pt>
                <c:pt idx="1">
                  <c:v>8.0</c:v>
                </c:pt>
                <c:pt idx="2">
                  <c:v>11.0</c:v>
                </c:pt>
                <c:pt idx="3">
                  <c:v>0.0</c:v>
                </c:pt>
              </c:numCache>
            </c:numRef>
          </c:val>
          <c:smooth val="0"/>
        </c:ser>
        <c:ser>
          <c:idx val="2"/>
          <c:order val="2"/>
          <c:tx>
            <c:v>2016</c:v>
          </c:tx>
          <c:spPr>
            <a:ln w="6350">
              <a:solidFill>
                <a:srgbClr val="9BBB59"/>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1.0</c:v>
                </c:pt>
                <c:pt idx="1">
                  <c:v>3.0</c:v>
                </c:pt>
                <c:pt idx="2">
                  <c:v>9.0</c:v>
                </c:pt>
                <c:pt idx="3">
                  <c:v>2.0</c:v>
                </c:pt>
              </c:numCache>
            </c:numRef>
          </c:val>
          <c:smooth val="0"/>
        </c:ser>
        <c:ser>
          <c:idx val="3"/>
          <c:order val="3"/>
          <c:tx>
            <c:v>2017</c:v>
          </c:tx>
          <c:spPr>
            <a:ln w="6350">
              <a:solidFill>
                <a:srgbClr val="8064A2"/>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2.0</c:v>
                </c:pt>
                <c:pt idx="1">
                  <c:v>0.0</c:v>
                </c:pt>
                <c:pt idx="2">
                  <c:v>61.0</c:v>
                </c:pt>
                <c:pt idx="3">
                  <c:v>0.0</c:v>
                </c:pt>
              </c:numCache>
            </c:numRef>
          </c:val>
          <c:smooth val="0"/>
        </c:ser>
        <c:ser>
          <c:idx val="4"/>
          <c:order val="4"/>
          <c:tx>
            <c:v>2018</c:v>
          </c:tx>
          <c:spPr>
            <a:ln w="6350">
              <a:solidFill>
                <a:srgbClr val="4BACC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0.0</c:v>
                </c:pt>
                <c:pt idx="1">
                  <c:v>2.0</c:v>
                </c:pt>
                <c:pt idx="2">
                  <c:v>4.0</c:v>
                </c:pt>
                <c:pt idx="3">
                  <c:v>0.0</c:v>
                </c:pt>
              </c:numCache>
            </c:numRef>
          </c:val>
          <c:smooth val="0"/>
        </c:ser>
        <c:ser>
          <c:idx val="5"/>
          <c:order val="5"/>
          <c:tx>
            <c:v>2019</c:v>
          </c:tx>
          <c:spPr>
            <a:ln w="6350">
              <a:solidFill>
                <a:srgbClr val="F7964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0.0</c:v>
                </c:pt>
                <c:pt idx="1">
                  <c:v>1.0</c:v>
                </c:pt>
                <c:pt idx="2">
                  <c:v>47.0</c:v>
                </c:pt>
                <c:pt idx="3">
                  <c:v>0.0</c:v>
                </c:pt>
              </c:numCache>
            </c:numRef>
          </c:val>
          <c:smooth val="0"/>
        </c:ser>
        <c:ser>
          <c:idx val="6"/>
          <c:order val="6"/>
          <c:tx>
            <c:v>2020</c:v>
          </c:tx>
          <c:spPr>
            <a:ln w="6350">
              <a:solidFill>
                <a:srgbClr val="2C4D75"/>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0.0</c:v>
                </c:pt>
                <c:pt idx="1">
                  <c:v>0.0</c:v>
                </c:pt>
                <c:pt idx="2">
                  <c:v>34.0</c:v>
                </c:pt>
                <c:pt idx="3">
                  <c:v>1.0</c:v>
                </c:pt>
              </c:numCache>
            </c:numRef>
          </c:val>
          <c:smooth val="0"/>
        </c:ser>
        <c:ser>
          <c:idx val="7"/>
          <c:order val="7"/>
          <c:tx>
            <c:v>2021</c:v>
          </c:tx>
          <c:spPr>
            <a:ln w="6350">
              <a:solidFill>
                <a:srgbClr val="772C2A"/>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0.0</c:v>
                </c:pt>
                <c:pt idx="1">
                  <c:v>5.0</c:v>
                </c:pt>
                <c:pt idx="2">
                  <c:v>6.0</c:v>
                </c:pt>
                <c:pt idx="3">
                  <c:v>0.0</c:v>
                </c:pt>
              </c:numCache>
            </c:numRef>
          </c:val>
          <c:smooth val="0"/>
        </c:ser>
        <c:ser>
          <c:idx val="8"/>
          <c:order val="8"/>
          <c:tx>
            <c:v>2022</c:v>
          </c:tx>
          <c:spPr>
            <a:ln w="6350">
              <a:solidFill>
                <a:srgbClr val="5F7530"/>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0.0</c:v>
                </c:pt>
                <c:pt idx="1">
                  <c:v>9.0</c:v>
                </c:pt>
                <c:pt idx="2">
                  <c:v>47.0</c:v>
                </c:pt>
                <c:pt idx="3">
                  <c:v>0.0</c:v>
                </c:pt>
              </c:numCache>
            </c:numRef>
          </c:val>
          <c:smooth val="0"/>
        </c:ser>
        <c:ser>
          <c:idx val="9"/>
          <c:order val="9"/>
          <c:tx>
            <c:v>2023</c:v>
          </c:tx>
          <c:spPr>
            <a:ln w="6350">
              <a:solidFill>
                <a:srgbClr val="4D3B62"/>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1.0</c:v>
                </c:pt>
                <c:pt idx="1">
                  <c:v>8.0</c:v>
                </c:pt>
                <c:pt idx="2">
                  <c:v>12.0</c:v>
                </c:pt>
                <c:pt idx="3">
                  <c:v>1.0</c:v>
                </c:pt>
              </c:numCache>
            </c:numRef>
          </c:val>
          <c:smooth val="0"/>
        </c:ser>
        <c:ser>
          <c:idx val="10"/>
          <c:order val="10"/>
          <c:tx>
            <c:v>2024</c:v>
          </c:tx>
          <c:spPr>
            <a:ln w="6350">
              <a:solidFill>
                <a:srgbClr val="276A7C"/>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4"/>
              <c:pt idx="0">
                <c:v>1-3月</c:v>
              </c:pt>
              <c:pt idx="1">
                <c:v>4-6月</c:v>
              </c:pt>
              <c:pt idx="2">
                <c:v>7-9月</c:v>
              </c:pt>
              <c:pt idx="3">
                <c:v>10-12月</c:v>
              </c:pt>
            </c:strLit>
          </c:cat>
          <c:val>
            <c:numRef>
              <c:f/>
              <c:numCache>
                <c:formatCode>General</c:formatCode>
                <c:ptCount val="4"/>
                <c:pt idx="0">
                  <c:v>1.0</c:v>
                </c:pt>
                <c:pt idx="1">
                  <c:v>3.0</c:v>
                </c:pt>
                <c:pt idx="2">
                  <c:v>215.0</c:v>
                </c:pt>
                <c:pt idx="3">
                  <c:v>0.0</c:v>
                </c:pt>
              </c:numCache>
            </c:numRef>
          </c:val>
          <c:smooth val="0"/>
        </c:ser>
        <c:marker val="1"/>
        <c:smooth val="0"/>
        <c:axId val="2"/>
        <c:axId val="3"/>
      </c:line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404040"/>
                </a:solidFill>
                <a:latin typeface="微软雅黑"/>
                <a:ea typeface="微软雅黑"/>
                <a:cs typeface="Lucida Sans"/>
              </a:defRPr>
            </a:pPr>
            <a:endParaRPr lang="zh-CN"/>
          </a:p>
        </c:txPr>
        <c:crosses val="autoZero"/>
        <c:auto val="1"/>
        <c:lblOffset val="100"/>
        <c:lblAlgn val="ctr"/>
        <c:noMultiLvlLbl val="0"/>
        <c:crossAx val="1"/>
      </c:catAx>
      <c:valAx>
        <c:axId val="1"/>
        <c:scaling>
          <c:orientation val="minMax"/>
          <c:max val="450.0"/>
        </c:scaling>
        <c:delete val="0"/>
        <c:axPos val="l"/>
        <c:majorGridlines>
          <c:spPr>
            <a:ln w="6350">
              <a:solidFill>
                <a:srgbClr val="D9D9D9"/>
              </a:solidFill>
              <a:prstDash val="solid"/>
            </a:ln>
          </c:spPr>
        </c:majorGridlines>
        <c:title>
          <c:tx>
            <c:rich>
              <a:bodyPr rot="-5400000" vert="horz"/>
              <a:lstStyle/>
              <a:p>
                <a:pPr>
                  <a:defRPr sz="1000" b="0" i="0" u="none" strike="noStrike" baseline="0">
                    <a:solidFill>
                      <a:srgbClr val="404040"/>
                    </a:solidFill>
                    <a:latin typeface="微软雅黑"/>
                    <a:ea typeface="微软雅黑"/>
                    <a:cs typeface="Lucida Sans"/>
                  </a:defRPr>
                </a:pPr>
                <a:r>
                  <a:rPr lang="zh-CN"/>
                  <a:t>数量（起）</a:t>
                </a:r>
              </a:p>
            </c:rich>
          </c:tx>
          <c:layout/>
          <c:overlay val="0"/>
          <c:spPr>
            <a:noFill/>
            <a:ln>
              <a:noFill/>
            </a:ln>
          </c:spPr>
        </c:title>
        <c:numFmt formatCode="General" sourceLinked="1"/>
        <c:majorTickMark val="none"/>
        <c:minorTickMark val="none"/>
        <c:tickLblPos val="nextTo"/>
        <c:spPr>
          <a:ln>
            <a:noFill/>
          </a:ln>
        </c:spPr>
        <c:txPr>
          <a:bodyPr/>
          <a:lstStyle/>
          <a:p>
            <a:pPr>
              <a:defRPr sz="900" b="0" i="0" u="none" strike="noStrike" baseline="0">
                <a:solidFill>
                  <a:srgbClr val="404040"/>
                </a:solidFill>
                <a:latin typeface="微软雅黑"/>
                <a:ea typeface="微软雅黑"/>
                <a:cs typeface="Lucida Sans"/>
              </a:defRPr>
            </a:pPr>
            <a:endParaRPr lang="zh-CN"/>
          </a:p>
        </c:txPr>
        <c:crossesAt val="1.0"/>
        <c:crossBetween val="between"/>
        <c:crossAx val="0"/>
      </c:valAx>
      <c:catAx>
        <c:axId val="2"/>
        <c:scaling>
          <c:orientation val="minMax"/>
        </c:scaling>
        <c:delete val="1"/>
        <c:axPos val="t"/>
        <c:numFmt formatCode="General" sourceLinked="1"/>
        <c:majorTickMark val="none"/>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 val="autoZero"/>
        <c:auto val="1"/>
        <c:lblOffset val="100"/>
        <c:lblAlgn val="ctr"/>
        <c:noMultiLvlLbl val="0"/>
        <c:crossAx val="3"/>
      </c:catAx>
      <c:valAx>
        <c:axId val="3"/>
        <c:scaling>
          <c:orientation val="minMax"/>
        </c:scaling>
        <c:delete val="1"/>
        <c:axPos val="r"/>
        <c:numFmt formatCode="General" sourceLinked="1"/>
        <c:majorTickMark val="none"/>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At val="1.0"/>
        <c:crossBetween val="between"/>
        <c:crossAx val="2"/>
      </c:valAx>
      <c:spPr>
        <a:noFill/>
        <a:ln w="6350">
          <a:solidFill>
            <a:srgbClr val="D9D9D9"/>
          </a:solidFill>
          <a:prstDash val="solid"/>
        </a:ln>
      </c:spPr>
    </c:plotArea>
    <c:legend>
      <c:legendPos val="r"/>
      <c:layout/>
      <c:overlay val="0"/>
      <c:spPr>
        <a:noFill/>
        <a:ln>
          <a:noFill/>
        </a:ln>
      </c:spPr>
      <c:txPr>
        <a:bodyPr/>
        <a:lstStyle/>
        <a:p>
          <a:pPr>
            <a:defRPr sz="900" b="0" i="0" u="none" strike="noStrike" baseline="0">
              <a:solidFill>
                <a:srgbClr val="404040"/>
              </a:solidFill>
              <a:latin typeface="微软雅黑"/>
              <a:ea typeface="微软雅黑"/>
              <a:cs typeface="Lucida Sans"/>
            </a:defRPr>
          </a:pPr>
          <a:endParaRPr lang="zh-CN"/>
        </a:p>
      </c:txPr>
    </c:legend>
    <c:plotVisOnly val="1"/>
    <c:dispBlanksAs val="gap"/>
    <c:showDLblsOverMax val="0"/>
  </c:chart>
  <c:spPr>
    <a:solidFill>
      <a:srgbClr val="FFFFFF"/>
    </a:solidFill>
    <a:ln w="6350">
      <a:solidFill>
        <a:srgbClr val="D9D9D9"/>
      </a:solidFill>
      <a:prstDash val="solid"/>
    </a:ln>
    <a:effectLst>
      <a:outerShdw blurRad="50800" dist="38100" dir="2700000" algn="tl" rotWithShape="0">
        <a:prstClr val="black">
          <a:alpha val="40000"/>
        </a:prstClr>
      </a:outerShdw>
    </a:effectLst>
  </c:spPr>
  <c:txPr>
    <a:bodyPr/>
    <a:lstStyle/>
    <a:p>
      <a:pPr>
        <a:defRPr sz="1000" b="0" i="0" u="none" strike="noStrike" baseline="0">
          <a:solidFill>
            <a:srgbClr val="40404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0"/>
          <c:order val="10"/>
          <c:tx>
            <c:v>十年累计</c:v>
          </c:tx>
          <c:spPr>
            <a:gradFill rotWithShape="1">
              <a:gsLst>
                <a:gs pos="0">
                  <a:srgbClr val="6E6FFA">
                    <a:alpha val="100000"/>
                  </a:srgbClr>
                </a:gs>
                <a:gs pos="100000">
                  <a:srgbClr val="07E3EE">
                    <a:alpha val="100000"/>
                  </a:srgbClr>
                </a:gs>
              </a:gsLst>
              <a:lin ang="5400000" scaled="1"/>
            </a:gradFill>
            <a:ln>
              <a:noFill/>
            </a:ln>
          </c:spPr>
          <c:invertIfNegative val="0"/>
          <c:dLbls>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numFmt formatCode="General" sourceLinked="0"/>
            <c:dLbl>
              <c:idx val="0"/>
              <c:layout>
                <c:manualLayout>
                  <c:x val="0.0"/>
                  <c:y val="0.024390243"/>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1"/>
              <c:layout>
                <c:manualLayout>
                  <c:x val="0.0"/>
                  <c:y val="0.027874565"/>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2"/>
              <c:layout>
                <c:manualLayout>
                  <c:x val="0.0020920502"/>
                  <c:y val="0.034843206"/>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3"/>
              <c:layout>
                <c:manualLayout>
                  <c:x val="0.0"/>
                  <c:y val="0.006968641"/>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4"/>
              <c:layout>
                <c:manualLayout>
                  <c:x val="0.0"/>
                  <c:y val="0.010452962"/>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5"/>
              <c:layout>
                <c:manualLayout>
                  <c:x val="0.0"/>
                  <c:y val="0.006968641"/>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6"/>
              <c:layout>
                <c:manualLayout>
                  <c:x val="0.0"/>
                  <c:y val="0.013937282"/>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
              <c:idx val="7"/>
              <c:layout>
                <c:manualLayout>
                  <c:x val="0.0020920502"/>
                  <c:y val="0.020905923"/>
                </c:manualLayout>
              </c:layout>
              <c:numFmt formatCode="General" sourceLinked="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68.0</c:v>
                </c:pt>
                <c:pt idx="1">
                  <c:v>35.0</c:v>
                </c:pt>
                <c:pt idx="2">
                  <c:v>248.0</c:v>
                </c:pt>
                <c:pt idx="3">
                  <c:v>78.0</c:v>
                </c:pt>
                <c:pt idx="4">
                  <c:v>49.0</c:v>
                </c:pt>
                <c:pt idx="5">
                  <c:v>7.0</c:v>
                </c:pt>
                <c:pt idx="6">
                  <c:v>4.0</c:v>
                </c:pt>
                <c:pt idx="7">
                  <c:v>7.0</c:v>
                </c:pt>
              </c:numCache>
            </c:numRef>
          </c:val>
        </c:ser>
        <c:gapWidth val="500"/>
        <c:axId val="0"/>
        <c:axId val="1"/>
      </c:barChart>
      <c:lineChart>
        <c:grouping val="standard"/>
        <c:varyColors val="0"/>
        <c:ser>
          <c:idx val="0"/>
          <c:order val="0"/>
          <c:tx>
            <c:v>2015</c:v>
          </c:tx>
          <c:spPr>
            <a:ln w="6350">
              <a:solidFill>
                <a:srgbClr val="4F81BD"/>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1.0</c:v>
                </c:pt>
                <c:pt idx="1">
                  <c:v>1.0</c:v>
                </c:pt>
                <c:pt idx="2">
                  <c:v>12.0</c:v>
                </c:pt>
                <c:pt idx="3">
                  <c:v>6.0</c:v>
                </c:pt>
                <c:pt idx="5">
                  <c:v>1.0</c:v>
                </c:pt>
              </c:numCache>
            </c:numRef>
          </c:val>
          <c:smooth val="0"/>
        </c:ser>
        <c:ser>
          <c:idx val="1"/>
          <c:order val="1"/>
          <c:tx>
            <c:v>2016</c:v>
          </c:tx>
          <c:spPr>
            <a:ln w="6350">
              <a:solidFill>
                <a:srgbClr val="C0504D"/>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1.0</c:v>
                </c:pt>
                <c:pt idx="2">
                  <c:v>4.0</c:v>
                </c:pt>
                <c:pt idx="3">
                  <c:v>2.0</c:v>
                </c:pt>
                <c:pt idx="4">
                  <c:v>7.0</c:v>
                </c:pt>
                <c:pt idx="5">
                  <c:v>1.0</c:v>
                </c:pt>
              </c:numCache>
            </c:numRef>
          </c:val>
          <c:smooth val="0"/>
        </c:ser>
        <c:ser>
          <c:idx val="2"/>
          <c:order val="2"/>
          <c:tx>
            <c:v>2017</c:v>
          </c:tx>
          <c:spPr>
            <a:ln w="6350">
              <a:solidFill>
                <a:srgbClr val="9BBB59"/>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47.0</c:v>
                </c:pt>
                <c:pt idx="1">
                  <c:v>1.0</c:v>
                </c:pt>
                <c:pt idx="2">
                  <c:v>10.0</c:v>
                </c:pt>
                <c:pt idx="3">
                  <c:v>1.0</c:v>
                </c:pt>
                <c:pt idx="4">
                  <c:v>1.0</c:v>
                </c:pt>
                <c:pt idx="7">
                  <c:v>3.0</c:v>
                </c:pt>
              </c:numCache>
            </c:numRef>
          </c:val>
          <c:smooth val="0"/>
        </c:ser>
        <c:ser>
          <c:idx val="3"/>
          <c:order val="3"/>
          <c:tx>
            <c:v>2018</c:v>
          </c:tx>
          <c:spPr>
            <a:ln w="6350">
              <a:solidFill>
                <a:srgbClr val="8064A2"/>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2">
                  <c:v>2.0</c:v>
                </c:pt>
                <c:pt idx="4">
                  <c:v>4.0</c:v>
                </c:pt>
              </c:numCache>
            </c:numRef>
          </c:val>
          <c:smooth val="0"/>
        </c:ser>
        <c:ser>
          <c:idx val="4"/>
          <c:order val="4"/>
          <c:tx>
            <c:v>2019</c:v>
          </c:tx>
          <c:spPr>
            <a:ln w="6350">
              <a:solidFill>
                <a:srgbClr val="4BACC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1.0</c:v>
                </c:pt>
                <c:pt idx="1">
                  <c:v>30.0</c:v>
                </c:pt>
                <c:pt idx="2">
                  <c:v>1.0</c:v>
                </c:pt>
                <c:pt idx="3">
                  <c:v>2.0</c:v>
                </c:pt>
                <c:pt idx="4">
                  <c:v>8.0</c:v>
                </c:pt>
                <c:pt idx="5">
                  <c:v>3.0</c:v>
                </c:pt>
                <c:pt idx="6">
                  <c:v>3.0</c:v>
                </c:pt>
              </c:numCache>
            </c:numRef>
          </c:val>
          <c:smooth val="0"/>
        </c:ser>
        <c:ser>
          <c:idx val="5"/>
          <c:order val="5"/>
          <c:tx>
            <c:v>2020</c:v>
          </c:tx>
          <c:spPr>
            <a:ln w="6350">
              <a:solidFill>
                <a:srgbClr val="F79646"/>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4.0</c:v>
                </c:pt>
                <c:pt idx="1">
                  <c:v>1.0</c:v>
                </c:pt>
                <c:pt idx="2">
                  <c:v>7.0</c:v>
                </c:pt>
                <c:pt idx="3">
                  <c:v>15.0</c:v>
                </c:pt>
                <c:pt idx="4">
                  <c:v>7.0</c:v>
                </c:pt>
                <c:pt idx="5">
                  <c:v>1.0</c:v>
                </c:pt>
              </c:numCache>
            </c:numRef>
          </c:val>
          <c:smooth val="0"/>
        </c:ser>
        <c:ser>
          <c:idx val="6"/>
          <c:order val="6"/>
          <c:tx>
            <c:v>2021</c:v>
          </c:tx>
          <c:spPr>
            <a:ln w="6350">
              <a:solidFill>
                <a:srgbClr val="002060"/>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2.0</c:v>
                </c:pt>
                <c:pt idx="2">
                  <c:v>7.0</c:v>
                </c:pt>
                <c:pt idx="3">
                  <c:v>1.0</c:v>
                </c:pt>
                <c:pt idx="4">
                  <c:v>1.0</c:v>
                </c:pt>
              </c:numCache>
            </c:numRef>
          </c:val>
          <c:smooth val="0"/>
        </c:ser>
        <c:ser>
          <c:idx val="7"/>
          <c:order val="7"/>
          <c:tx>
            <c:v>2022</c:v>
          </c:tx>
          <c:spPr>
            <a:ln w="6350">
              <a:solidFill>
                <a:srgbClr val="953735"/>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4.0</c:v>
                </c:pt>
                <c:pt idx="1">
                  <c:v>2.0</c:v>
                </c:pt>
                <c:pt idx="2">
                  <c:v>33.0</c:v>
                </c:pt>
                <c:pt idx="3">
                  <c:v>5.0</c:v>
                </c:pt>
                <c:pt idx="4">
                  <c:v>11.0</c:v>
                </c:pt>
                <c:pt idx="7">
                  <c:v>1.0</c:v>
                </c:pt>
              </c:numCache>
            </c:numRef>
          </c:val>
          <c:smooth val="0"/>
        </c:ser>
        <c:ser>
          <c:idx val="8"/>
          <c:order val="8"/>
          <c:tx>
            <c:v>2023</c:v>
          </c:tx>
          <c:spPr>
            <a:ln w="6350">
              <a:solidFill>
                <a:srgbClr val="4F6228"/>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4.0</c:v>
                </c:pt>
                <c:pt idx="1">
                  <c:v>0.0</c:v>
                </c:pt>
                <c:pt idx="2">
                  <c:v>3.0</c:v>
                </c:pt>
                <c:pt idx="3">
                  <c:v>5.0</c:v>
                </c:pt>
                <c:pt idx="4">
                  <c:v>8.0</c:v>
                </c:pt>
                <c:pt idx="5">
                  <c:v>0.0</c:v>
                </c:pt>
                <c:pt idx="6">
                  <c:v>0.0</c:v>
                </c:pt>
                <c:pt idx="7">
                  <c:v>2.0</c:v>
                </c:pt>
              </c:numCache>
            </c:numRef>
          </c:val>
          <c:smooth val="0"/>
        </c:ser>
        <c:ser>
          <c:idx val="9"/>
          <c:order val="9"/>
          <c:tx>
            <c:v>2024</c:v>
          </c:tx>
          <c:spPr>
            <a:ln w="6350">
              <a:solidFill>
                <a:srgbClr val="604A7B"/>
              </a:solidFill>
              <a:prstDash val="solid"/>
            </a:ln>
          </c:spPr>
          <c:marker>
            <c:symbol val="none"/>
          </c:marker>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8"/>
              <c:pt idx="0">
                <c:v>吉林</c:v>
              </c:pt>
              <c:pt idx="1">
                <c:v>辽源</c:v>
              </c:pt>
              <c:pt idx="2">
                <c:v>白山</c:v>
              </c:pt>
              <c:pt idx="3">
                <c:v>通化</c:v>
              </c:pt>
              <c:pt idx="4">
                <c:v>延边</c:v>
              </c:pt>
              <c:pt idx="5">
                <c:v>四平</c:v>
              </c:pt>
              <c:pt idx="6">
                <c:v>长春</c:v>
              </c:pt>
              <c:pt idx="7">
                <c:v>长白山</c:v>
              </c:pt>
            </c:strLit>
          </c:cat>
          <c:val>
            <c:numRef>
              <c:f/>
              <c:numCache>
                <c:formatCode>General</c:formatCode>
                <c:ptCount val="8"/>
                <c:pt idx="0">
                  <c:v>4.0</c:v>
                </c:pt>
                <c:pt idx="1">
                  <c:v>0.0</c:v>
                </c:pt>
                <c:pt idx="2">
                  <c:v>169.0</c:v>
                </c:pt>
                <c:pt idx="3">
                  <c:v>41.0</c:v>
                </c:pt>
                <c:pt idx="4">
                  <c:v>2.0</c:v>
                </c:pt>
                <c:pt idx="5">
                  <c:v>1.0</c:v>
                </c:pt>
                <c:pt idx="6">
                  <c:v>1.0</c:v>
                </c:pt>
                <c:pt idx="7">
                  <c:v>1.0</c:v>
                </c:pt>
              </c:numCache>
            </c:numRef>
          </c:val>
          <c:smooth val="0"/>
        </c:ser>
        <c:marker val="1"/>
        <c:smooth val="0"/>
        <c:axId val="2"/>
        <c:axId val="3"/>
      </c:line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rot="0" vert="horz" anchor="t" anchorCtr="0"/>
          <a:lstStyle/>
          <a:p>
            <a:pPr>
              <a:defRPr sz="900" b="0" i="0" u="none" strike="noStrike" baseline="0">
                <a:solidFill>
                  <a:srgbClr val="404040"/>
                </a:solidFill>
                <a:latin typeface="微软雅黑"/>
                <a:ea typeface="微软雅黑"/>
                <a:cs typeface="Lucida Sans"/>
              </a:defRPr>
            </a:pPr>
            <a:endParaRPr lang="zh-CN"/>
          </a:p>
        </c:txPr>
        <c:crosses val="autoZero"/>
        <c:auto val="1"/>
        <c:lblOffset val="100"/>
        <c:lblAlgn val="ctr"/>
        <c:noMultiLvlLbl val="0"/>
        <c:crossAx val="1"/>
      </c:catAx>
      <c:valAx>
        <c:axId val="1"/>
        <c:scaling>
          <c:orientation val="minMax"/>
          <c:max val="280.0"/>
        </c:scaling>
        <c:delete val="0"/>
        <c:axPos val="l"/>
        <c:majorGridlines>
          <c:spPr>
            <a:ln w="6350">
              <a:solidFill>
                <a:srgbClr val="D9D9D9"/>
              </a:solidFill>
              <a:prstDash val="solid"/>
            </a:ln>
          </c:spPr>
        </c:majorGridlines>
        <c:title>
          <c:tx>
            <c:rich>
              <a:bodyPr rot="-5400000" vert="horz"/>
              <a:lstStyle/>
              <a:p>
                <a:pPr>
                  <a:defRPr sz="1000" b="0" i="0" u="none" strike="noStrike" baseline="0">
                    <a:solidFill>
                      <a:srgbClr val="404040"/>
                    </a:solidFill>
                    <a:latin typeface="微软雅黑"/>
                    <a:ea typeface="微软雅黑"/>
                    <a:cs typeface="Lucida Sans"/>
                  </a:defRPr>
                </a:pPr>
                <a:r>
                  <a:rPr lang="zh-CN"/>
                  <a:t>数量（起）</a:t>
                </a:r>
              </a:p>
            </c:rich>
          </c:tx>
          <c:layout/>
          <c:overlay val="0"/>
          <c:spPr>
            <a:noFill/>
            <a:ln>
              <a:noFill/>
            </a:ln>
          </c:spPr>
        </c:title>
        <c:numFmt formatCode="General" sourceLinked="1"/>
        <c:majorTickMark val="none"/>
        <c:minorTickMark val="none"/>
        <c:tickLblPos val="nextTo"/>
        <c:spPr>
          <a:ln>
            <a:noFill/>
          </a:ln>
        </c:spPr>
        <c:txPr>
          <a:bodyPr/>
          <a:lstStyle/>
          <a:p>
            <a:pPr>
              <a:defRPr sz="900" b="0" i="0" u="none" strike="noStrike" baseline="0">
                <a:solidFill>
                  <a:srgbClr val="404040"/>
                </a:solidFill>
                <a:latin typeface="微软雅黑"/>
                <a:ea typeface="微软雅黑"/>
                <a:cs typeface="Lucida Sans"/>
              </a:defRPr>
            </a:pPr>
            <a:endParaRPr lang="zh-CN"/>
          </a:p>
        </c:txPr>
        <c:crossesAt val="1.0"/>
        <c:crossBetween val="between"/>
        <c:majorUnit val="40.0"/>
        <c:crossAx val="0"/>
      </c:valAx>
      <c:catAx>
        <c:axId val="2"/>
        <c:scaling>
          <c:orientation val="minMax"/>
        </c:scaling>
        <c:delete val="1"/>
        <c:axPos val="t"/>
        <c:numFmt formatCode="General" sourceLinked="1"/>
        <c:majorTickMark val="out"/>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 val="max"/>
        <c:auto val="1"/>
        <c:lblOffset val="100"/>
        <c:lblAlgn val="ctr"/>
        <c:noMultiLvlLbl val="0"/>
        <c:crossAx val="3"/>
      </c:catAx>
      <c:valAx>
        <c:axId val="3"/>
        <c:scaling>
          <c:orientation val="minMax"/>
        </c:scaling>
        <c:delete val="1"/>
        <c:axPos val="r"/>
        <c:numFmt formatCode="General" sourceLinked="1"/>
        <c:majorTickMark val="none"/>
        <c:minorTickMark val="none"/>
        <c:tickLblPos val="nextTo"/>
        <c:txPr>
          <a:bodyPr/>
          <a:lstStyle/>
          <a:p>
            <a:pPr>
              <a:defRPr sz="1000" b="0" i="0" u="none" strike="noStrike" baseline="0">
                <a:solidFill>
                  <a:srgbClr val="404040"/>
                </a:solidFill>
                <a:latin typeface="微软雅黑"/>
                <a:ea typeface="微软雅黑"/>
                <a:cs typeface="Lucida Sans"/>
              </a:defRPr>
            </a:pPr>
            <a:endParaRPr lang="zh-CN"/>
          </a:p>
        </c:txPr>
        <c:crosses val="max"/>
        <c:crossBetween val="between"/>
        <c:crossAx val="2"/>
      </c:valAx>
      <c:spPr>
        <a:noFill/>
        <a:ln w="6350">
          <a:solidFill>
            <a:srgbClr val="D9D9D9"/>
          </a:solidFill>
          <a:prstDash val="solid"/>
        </a:ln>
      </c:spPr>
    </c:plotArea>
    <c:legend>
      <c:legendPos val="r"/>
      <c:layout/>
      <c:overlay val="0"/>
      <c:spPr>
        <a:noFill/>
        <a:ln>
          <a:noFill/>
        </a:ln>
      </c:spPr>
      <c:txPr>
        <a:bodyPr/>
        <a:lstStyle/>
        <a:p>
          <a:pPr>
            <a:defRPr sz="900" b="0" i="0" u="none" strike="noStrike" baseline="0">
              <a:solidFill>
                <a:srgbClr val="404040"/>
              </a:solidFill>
              <a:latin typeface="微软雅黑"/>
              <a:ea typeface="微软雅黑"/>
              <a:cs typeface="Lucida Sans"/>
            </a:defRPr>
          </a:pPr>
          <a:endParaRPr lang="zh-CN"/>
        </a:p>
      </c:txPr>
    </c:legend>
    <c:plotVisOnly val="1"/>
    <c:dispBlanksAs val="gap"/>
    <c:showDLblsOverMax val="0"/>
  </c:chart>
  <c:spPr>
    <a:solidFill>
      <a:srgbClr val="FFFFFF"/>
    </a:solidFill>
    <a:ln w="6350">
      <a:solidFill>
        <a:srgbClr val="D9D9D9"/>
      </a:solidFill>
      <a:prstDash val="solid"/>
    </a:ln>
    <a:effectLst>
      <a:outerShdw blurRad="50800" dist="38100" dir="2700000" algn="tl" rotWithShape="0">
        <a:prstClr val="black">
          <a:alpha val="40000"/>
        </a:prstClr>
      </a:outerShdw>
    </a:effectLst>
  </c:spPr>
  <c:txPr>
    <a:bodyPr/>
    <a:lstStyle/>
    <a:p>
      <a:pPr>
        <a:defRPr sz="1000" b="0" i="0" u="none" strike="noStrike" baseline="0">
          <a:solidFill>
            <a:srgbClr val="40404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drawings/drawing1.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0.17739436</cdr:x>
      <cdr:y>0.68804157</cdr:y>
    </cdr:from>
    <cdr:to>
      <cdr:x>0.9357391</cdr:x>
      <cdr:y>0.6917837</cdr:y>
    </cdr:to>
    <cdr:sp>
      <cdr:nvSpPr>
        <cdr:cNvPr id="3" name="直接连接符 1"/>
        <cdr:cNvSpPr>
          <a:spLocks/>
        </cdr:cNvSpPr>
      </cdr:nvSpPr>
      <cdr:spPr>
        <a:xfrm flipV="1" rot="0">
          <a:off x="777366" y="1913650"/>
          <a:ext cx="3323169" cy="10408"/>
        </a:xfrm>
        <a:prstGeom prst="line"/>
        <a:noFill/>
        <a:ln w="12700" cmpd="sng" cap="flat">
          <a:solidFill>
            <a:srgbClr val="FF0000"/>
          </a:solidFill>
          <a:prstDash val="solid"/>
          <a:round/>
        </a:ln>
      </cdr:spPr>
    </cdr:sp>
  </cdr:relSizeAnchor>
  <cdr:relSizeAnchor>
    <cdr:from>
      <cdr:x>0.64198476</cdr:x>
      <cdr:y>0.12748714</cdr:y>
    </cdr:from>
    <cdr:to>
      <cdr:x>0.71374476</cdr:x>
      <cdr:y>0.12748714</cdr:y>
    </cdr:to>
    <cdr:sp>
      <cdr:nvSpPr>
        <cdr:cNvPr id="4" name="直接连接符 2"/>
        <cdr:cNvSpPr>
          <a:spLocks/>
        </cdr:cNvSpPr>
      </cdr:nvSpPr>
      <cdr:spPr>
        <a:xfrm rot="0">
          <a:off x="2813264" y="354580"/>
          <a:ext cx="314462" cy="0"/>
        </a:xfrm>
        <a:prstGeom prst="line"/>
        <a:noFill/>
        <a:ln w="12700" cmpd="sng" cap="flat">
          <a:solidFill>
            <a:srgbClr val="FF0000"/>
          </a:solidFill>
          <a:prstDash val="solid"/>
          <a:round/>
        </a:ln>
      </cdr:spPr>
    </cdr:sp>
  </cdr:relSizeAnchor>
</c:userShap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254FC6-705F-44D1-8A30-24467E74768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18</Pages>
  <Words>0</Words>
  <Characters>5521</Characters>
  <Lines>0</Lines>
  <Paragraphs>159</Paragraphs>
  <CharactersWithSpaces>7362</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3</cp:revision>
  <cp:lastPrinted>2022-06-14T00:50:00Z</cp:lastPrinted>
  <dcterms:created xsi:type="dcterms:W3CDTF">2025-06-03T01:32:00Z</dcterms:created>
  <dcterms:modified xsi:type="dcterms:W3CDTF">2025-06-03T02:19:58Z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C11CE9AE271F44DDAF8346FC97D93900</vt:lpwstr>
  </property>
  <property fmtid="{D5CDD505-2E9C-101B-9397-08002B2CF9AE}" pid="4" name="KSOTemplateDocerSaveRecord">
    <vt:lpwstr>eyJoZGlkIjoiMmQ3MGI0YzBjMjRkYTU5Y2FmYTc0MGJhZjJkNGUzYzIiLCJ1c2VySWQiOiIxMjczMzM3Njg5In0=</vt:lpwstr>
  </property>
</Properties>
</file>