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64" w:lineRule="auto"/>
        <w:jc w:val="center"/>
        <w:rPr>
          <w:rFonts w:ascii="方正小标宋_GBK" w:eastAsia="方正小标宋_GBK" w:cs="方正小标宋简体"/>
          <w:color w:val="auto"/>
          <w:w w:val="98"/>
          <w:sz w:val="44"/>
          <w:szCs w:val="44"/>
        </w:rPr>
      </w:pPr>
      <w:r>
        <w:rPr>
          <w:rFonts w:ascii="方正小标宋_GBK" w:eastAsia="方正小标宋_GBK" w:cs="方正小标宋简体"/>
          <w:color w:val="auto"/>
          <w:w w:val="98"/>
          <w:sz w:val="44"/>
          <w:szCs w:val="44"/>
        </w:rPr>
        <w:t>关于开展</w:t>
      </w:r>
      <w:r>
        <w:rPr>
          <w:rFonts w:hint="eastAsia" w:ascii="方正小标宋_GBK" w:eastAsia="方正小标宋_GBK" w:cs="方正小标宋简体"/>
          <w:color w:val="auto"/>
          <w:w w:val="98"/>
          <w:sz w:val="44"/>
          <w:szCs w:val="44"/>
        </w:rPr>
        <w:t>盐碱地等耕地后备资源</w:t>
      </w:r>
    </w:p>
    <w:p>
      <w:pPr>
        <w:spacing w:line="264" w:lineRule="auto"/>
        <w:jc w:val="center"/>
        <w:rPr>
          <w:rFonts w:ascii="方正小标宋_GBK" w:eastAsia="方正小标宋_GBK" w:cs="方正小标宋简体"/>
          <w:color w:val="auto"/>
          <w:w w:val="98"/>
          <w:sz w:val="44"/>
          <w:szCs w:val="44"/>
        </w:rPr>
      </w:pPr>
      <w:r>
        <w:rPr>
          <w:rFonts w:hint="eastAsia" w:ascii="方正小标宋_GBK" w:eastAsia="方正小标宋_GBK" w:cs="方正小标宋简体"/>
          <w:color w:val="auto"/>
          <w:w w:val="98"/>
          <w:sz w:val="44"/>
          <w:szCs w:val="44"/>
        </w:rPr>
        <w:t>综合利用的指导意见（征求意见</w:t>
      </w:r>
      <w:bookmarkStart w:id="0" w:name="_GoBack"/>
      <w:bookmarkEnd w:id="0"/>
      <w:r>
        <w:rPr>
          <w:rFonts w:hint="eastAsia" w:ascii="方正小标宋_GBK" w:eastAsia="方正小标宋_GBK" w:cs="方正小标宋简体"/>
          <w:color w:val="auto"/>
          <w:w w:val="98"/>
          <w:sz w:val="44"/>
          <w:szCs w:val="44"/>
        </w:rPr>
        <w:t>稿）</w:t>
      </w:r>
    </w:p>
    <w:p>
      <w:pPr>
        <w:spacing w:line="341" w:lineRule="auto"/>
        <w:jc w:val="center"/>
        <w:rPr>
          <w:rFonts w:ascii="楷体" w:eastAsia="楷体" w:cs="楷体"/>
          <w:color w:val="auto"/>
          <w:w w:val="98"/>
          <w:szCs w:val="32"/>
        </w:rPr>
      </w:pPr>
    </w:p>
    <w:p>
      <w:pPr>
        <w:spacing w:line="341" w:lineRule="auto"/>
        <w:jc w:val="center"/>
        <w:rPr>
          <w:rFonts w:ascii="楷体" w:eastAsia="楷体" w:cs="楷体"/>
          <w:color w:val="auto"/>
          <w:w w:val="98"/>
          <w:szCs w:val="32"/>
        </w:rPr>
      </w:pPr>
    </w:p>
    <w:p>
      <w:pPr>
        <w:spacing w:line="341" w:lineRule="auto"/>
        <w:ind w:firstLine="626" w:firstLineChars="200"/>
        <w:rPr>
          <w:rFonts w:ascii="仿宋_GB2312" w:eastAsia="仿宋_GB2312" w:cs="仿宋_GB2312"/>
          <w:color w:val="auto"/>
          <w:w w:val="98"/>
          <w:szCs w:val="32"/>
        </w:rPr>
      </w:pPr>
      <w:r>
        <w:rPr>
          <w:rFonts w:ascii="仿宋_GB2312" w:eastAsia="仿宋_GB2312" w:cs="仿宋_GB2312"/>
          <w:color w:val="auto"/>
          <w:w w:val="98"/>
          <w:szCs w:val="32"/>
        </w:rPr>
        <w:t>为科学开展</w:t>
      </w:r>
      <w:r>
        <w:rPr>
          <w:rFonts w:hint="eastAsia" w:ascii="仿宋_GB2312" w:eastAsia="仿宋_GB2312" w:cs="仿宋_GB2312"/>
          <w:color w:val="auto"/>
          <w:w w:val="98"/>
          <w:szCs w:val="32"/>
        </w:rPr>
        <w:t>盐碱地等耕地后备资源综合利用，助力我省“千亿斤粮食”工程建设</w:t>
      </w:r>
      <w:r>
        <w:rPr>
          <w:rFonts w:ascii="仿宋_GB2312" w:eastAsia="仿宋_GB2312" w:cs="仿宋_GB2312"/>
          <w:color w:val="auto"/>
          <w:w w:val="98"/>
          <w:szCs w:val="32"/>
        </w:rPr>
        <w:t>，</w:t>
      </w:r>
      <w:r>
        <w:rPr>
          <w:rFonts w:hint="eastAsia" w:ascii="仿宋_GB2312" w:eastAsia="仿宋_GB2312" w:cs="仿宋_GB2312"/>
          <w:color w:val="auto"/>
          <w:w w:val="98"/>
          <w:szCs w:val="32"/>
        </w:rPr>
        <w:t>提出如下意见</w:t>
      </w:r>
      <w:r>
        <w:rPr>
          <w:rFonts w:ascii="仿宋_GB2312" w:eastAsia="仿宋_GB2312" w:cs="仿宋_GB2312"/>
          <w:color w:val="auto"/>
          <w:w w:val="98"/>
          <w:szCs w:val="32"/>
        </w:rPr>
        <w:t>。</w:t>
      </w:r>
    </w:p>
    <w:p>
      <w:pPr>
        <w:spacing w:line="341" w:lineRule="auto"/>
        <w:ind w:firstLine="626" w:firstLineChars="200"/>
        <w:rPr>
          <w:rFonts w:ascii="黑体" w:eastAsia="黑体" w:cs="黑体"/>
          <w:color w:val="auto"/>
          <w:w w:val="98"/>
          <w:szCs w:val="32"/>
        </w:rPr>
      </w:pPr>
      <w:r>
        <w:rPr>
          <w:rFonts w:hint="eastAsia" w:ascii="黑体" w:eastAsia="黑体" w:cs="黑体"/>
          <w:color w:val="auto"/>
          <w:w w:val="98"/>
          <w:szCs w:val="32"/>
        </w:rPr>
        <w:t>一、总体要求</w:t>
      </w:r>
    </w:p>
    <w:p>
      <w:pPr>
        <w:spacing w:line="341" w:lineRule="auto"/>
        <w:ind w:firstLine="626" w:firstLineChars="200"/>
        <w:rPr>
          <w:rFonts w:ascii="楷体_GB2312" w:eastAsia="楷体_GB2312" w:cs="方正楷体_GBK"/>
          <w:color w:val="auto"/>
          <w:w w:val="98"/>
          <w:szCs w:val="32"/>
        </w:rPr>
      </w:pPr>
      <w:r>
        <w:rPr>
          <w:rFonts w:hint="eastAsia" w:ascii="楷体_GB2312" w:eastAsia="楷体_GB2312" w:cs="方正楷体_GBK"/>
          <w:color w:val="auto"/>
          <w:w w:val="98"/>
          <w:szCs w:val="32"/>
        </w:rPr>
        <w:t>（一）指导思想</w:t>
      </w:r>
      <w:r>
        <w:rPr>
          <w:rFonts w:ascii="楷体_GB2312" w:eastAsia="楷体_GB2312" w:cs="方正楷体_GBK"/>
          <w:color w:val="auto"/>
          <w:w w:val="98"/>
          <w:szCs w:val="32"/>
        </w:rPr>
        <w:t>。</w:t>
      </w:r>
      <w:r>
        <w:rPr>
          <w:rFonts w:hint="eastAsia" w:ascii="仿宋_GB2312" w:eastAsia="仿宋_GB2312" w:cs="仿宋_GB2312"/>
          <w:color w:val="auto"/>
          <w:w w:val="98"/>
          <w:szCs w:val="32"/>
        </w:rPr>
        <w:t>以习近平新时代中国特色社会主义思想为指导，</w:t>
      </w:r>
      <w:r>
        <w:rPr>
          <w:rFonts w:ascii="仿宋_GB2312" w:eastAsia="仿宋_GB2312" w:cs="仿宋_GB2312"/>
          <w:color w:val="auto"/>
          <w:w w:val="98"/>
          <w:szCs w:val="32"/>
        </w:rPr>
        <w:t>深入</w:t>
      </w:r>
      <w:r>
        <w:rPr>
          <w:rFonts w:hint="eastAsia" w:ascii="仿宋_GB2312" w:eastAsia="仿宋_GB2312" w:cs="仿宋_GB2312"/>
          <w:color w:val="auto"/>
          <w:w w:val="98"/>
          <w:szCs w:val="32"/>
        </w:rPr>
        <w:t>贯彻</w:t>
      </w:r>
      <w:r>
        <w:rPr>
          <w:rFonts w:ascii="仿宋_GB2312" w:eastAsia="仿宋_GB2312" w:cs="仿宋_GB2312"/>
          <w:color w:val="auto"/>
          <w:w w:val="98"/>
          <w:szCs w:val="32"/>
        </w:rPr>
        <w:t>习近平生态文明思想，认真</w:t>
      </w:r>
      <w:r>
        <w:rPr>
          <w:rFonts w:hint="eastAsia" w:ascii="仿宋_GB2312" w:eastAsia="仿宋_GB2312" w:cs="仿宋_GB2312"/>
          <w:color w:val="auto"/>
          <w:w w:val="98"/>
          <w:szCs w:val="32"/>
        </w:rPr>
        <w:t>落实习近平总书记视察吉林重要讲话重要指示精神</w:t>
      </w:r>
      <w:r>
        <w:rPr>
          <w:rFonts w:ascii="仿宋_GB2312" w:eastAsia="仿宋_GB2312" w:cs="仿宋_GB2312"/>
          <w:color w:val="auto"/>
          <w:w w:val="98"/>
          <w:szCs w:val="32"/>
        </w:rPr>
        <w:t>和</w:t>
      </w:r>
      <w:r>
        <w:rPr>
          <w:rFonts w:hint="eastAsia" w:ascii="仿宋_GB2312" w:eastAsia="仿宋_GB2312" w:cs="仿宋_GB2312"/>
          <w:color w:val="auto"/>
          <w:w w:val="98"/>
          <w:szCs w:val="32"/>
        </w:rPr>
        <w:t>关于“开展盐碱地综合利用对保障国家粮食安全、端牢中国饭碗具有重要战略意义”的重要指示精神，牢记国之大者，坚持最严格的耕地保护制度，</w:t>
      </w:r>
      <w:r>
        <w:rPr>
          <w:rFonts w:ascii="仿宋_GB2312" w:eastAsia="仿宋_GB2312" w:cs="仿宋_GB2312"/>
          <w:color w:val="auto"/>
          <w:w w:val="98"/>
          <w:szCs w:val="32"/>
        </w:rPr>
        <w:t>科学</w:t>
      </w:r>
      <w:r>
        <w:rPr>
          <w:rFonts w:hint="eastAsia" w:ascii="仿宋_GB2312" w:eastAsia="仿宋_GB2312" w:cs="仿宋_GB2312"/>
          <w:color w:val="auto"/>
          <w:w w:val="98"/>
          <w:szCs w:val="32"/>
        </w:rPr>
        <w:t>开展盐碱地等耕地后备资源综合利用，切实保障国家粮食安全。</w:t>
      </w:r>
    </w:p>
    <w:p>
      <w:pPr>
        <w:spacing w:line="341" w:lineRule="auto"/>
        <w:ind w:firstLine="626" w:firstLineChars="200"/>
        <w:rPr>
          <w:rFonts w:ascii="仿宋_GB2312" w:eastAsia="仿宋_GB2312" w:cs="仿宋_GB2312"/>
          <w:color w:val="auto"/>
          <w:w w:val="98"/>
          <w:szCs w:val="32"/>
        </w:rPr>
      </w:pPr>
      <w:r>
        <w:rPr>
          <w:rFonts w:hint="eastAsia" w:ascii="楷体_GB2312" w:eastAsia="楷体_GB2312" w:cs="方正楷体_GBK"/>
          <w:color w:val="auto"/>
          <w:w w:val="98"/>
          <w:szCs w:val="32"/>
        </w:rPr>
        <w:t>（二）基本原则</w:t>
      </w:r>
      <w:r>
        <w:rPr>
          <w:rFonts w:ascii="楷体_GB2312" w:eastAsia="楷体_GB2312" w:cs="方正楷体_GBK"/>
          <w:color w:val="auto"/>
          <w:w w:val="98"/>
          <w:szCs w:val="32"/>
        </w:rPr>
        <w:t>。</w:t>
      </w:r>
      <w:r>
        <w:rPr>
          <w:rFonts w:hint="eastAsia" w:ascii="方正仿宋_GBK" w:eastAsia="方正仿宋_GBK" w:cs="仿宋_GB2312"/>
          <w:b/>
          <w:bCs/>
          <w:color w:val="auto"/>
          <w:w w:val="98"/>
          <w:szCs w:val="32"/>
        </w:rPr>
        <w:t>坚持统筹规划，有效衔接。</w:t>
      </w:r>
      <w:r>
        <w:rPr>
          <w:rFonts w:hint="eastAsia" w:ascii="仿宋_GB2312" w:eastAsia="仿宋_GB2312" w:cs="仿宋_GB2312"/>
          <w:color w:val="auto"/>
          <w:w w:val="98"/>
          <w:szCs w:val="32"/>
        </w:rPr>
        <w:t>编制全省盐碱地等耕地后备资源综合利用</w:t>
      </w:r>
      <w:r>
        <w:rPr>
          <w:rFonts w:ascii="仿宋_GB2312" w:eastAsia="仿宋_GB2312" w:cs="仿宋_GB2312"/>
          <w:color w:val="auto"/>
          <w:w w:val="98"/>
          <w:szCs w:val="32"/>
        </w:rPr>
        <w:t>工程建设方案</w:t>
      </w:r>
      <w:r>
        <w:rPr>
          <w:rFonts w:hint="eastAsia" w:ascii="仿宋_GB2312" w:eastAsia="仿宋_GB2312" w:cs="仿宋_GB2312"/>
          <w:color w:val="auto"/>
          <w:w w:val="98"/>
          <w:szCs w:val="32"/>
        </w:rPr>
        <w:t>，与国土空间、生态</w:t>
      </w:r>
      <w:r>
        <w:rPr>
          <w:rFonts w:ascii="仿宋_GB2312" w:eastAsia="仿宋_GB2312" w:cs="仿宋_GB2312"/>
          <w:color w:val="auto"/>
          <w:w w:val="98"/>
          <w:szCs w:val="32"/>
        </w:rPr>
        <w:t>保护</w:t>
      </w:r>
      <w:r>
        <w:rPr>
          <w:rFonts w:hint="eastAsia" w:ascii="仿宋_GB2312" w:eastAsia="仿宋_GB2312" w:cs="仿宋_GB2312"/>
          <w:color w:val="auto"/>
          <w:w w:val="98"/>
          <w:szCs w:val="32"/>
        </w:rPr>
        <w:t>修复、水利工程</w:t>
      </w:r>
      <w:r>
        <w:rPr>
          <w:rFonts w:ascii="仿宋_GB2312" w:eastAsia="仿宋_GB2312" w:cs="仿宋_GB2312"/>
          <w:color w:val="auto"/>
          <w:w w:val="98"/>
          <w:szCs w:val="32"/>
        </w:rPr>
        <w:t>建设</w:t>
      </w:r>
      <w:r>
        <w:rPr>
          <w:rFonts w:hint="eastAsia" w:ascii="仿宋_GB2312" w:eastAsia="仿宋_GB2312" w:cs="仿宋_GB2312"/>
          <w:color w:val="auto"/>
          <w:w w:val="98"/>
          <w:szCs w:val="32"/>
        </w:rPr>
        <w:t>等各类规划有效衔接。</w:t>
      </w:r>
      <w:r>
        <w:rPr>
          <w:rFonts w:hint="eastAsia" w:ascii="方正仿宋_GBK" w:eastAsia="方正仿宋_GBK" w:cs="仿宋_GB2312"/>
          <w:b/>
          <w:bCs/>
          <w:color w:val="auto"/>
          <w:w w:val="98"/>
          <w:szCs w:val="32"/>
        </w:rPr>
        <w:t>坚持以水定地，有序开发。</w:t>
      </w:r>
      <w:r>
        <w:rPr>
          <w:rFonts w:hint="eastAsia" w:ascii="仿宋_GB2312" w:eastAsia="仿宋_GB2312" w:cs="仿宋_GB2312"/>
          <w:color w:val="auto"/>
          <w:w w:val="98"/>
          <w:szCs w:val="32"/>
        </w:rPr>
        <w:t>根据骨干水利工程建设进度，科学确定盐碱地等耕地后备资源综合利用范围、</w:t>
      </w:r>
      <w:r>
        <w:rPr>
          <w:rFonts w:ascii="仿宋_GB2312" w:eastAsia="仿宋_GB2312" w:cs="仿宋_GB2312"/>
          <w:color w:val="auto"/>
          <w:w w:val="98"/>
          <w:szCs w:val="32"/>
        </w:rPr>
        <w:t>建设规模、</w:t>
      </w:r>
      <w:r>
        <w:rPr>
          <w:rFonts w:hint="eastAsia" w:ascii="仿宋_GB2312" w:eastAsia="仿宋_GB2312" w:cs="仿宋_GB2312"/>
          <w:color w:val="auto"/>
          <w:w w:val="98"/>
          <w:szCs w:val="32"/>
        </w:rPr>
        <w:t>建设时序。</w:t>
      </w:r>
      <w:r>
        <w:rPr>
          <w:rFonts w:hint="eastAsia" w:ascii="方正仿宋_GBK" w:eastAsia="方正仿宋_GBK" w:cs="仿宋_GB2312"/>
          <w:b/>
          <w:bCs/>
          <w:color w:val="auto"/>
          <w:w w:val="98"/>
          <w:szCs w:val="32"/>
        </w:rPr>
        <w:t>坚持技术引领，创新驱动。</w:t>
      </w:r>
      <w:r>
        <w:rPr>
          <w:rFonts w:hint="eastAsia" w:ascii="仿宋_GB2312" w:eastAsia="仿宋_GB2312" w:cs="仿宋_GB2312"/>
          <w:color w:val="auto"/>
          <w:w w:val="98"/>
          <w:szCs w:val="32"/>
        </w:rPr>
        <w:t>发挥科技引领作用，推进盐碱地改良、节水灌溉、生态保护修复等技术探索和实践。</w:t>
      </w:r>
      <w:r>
        <w:rPr>
          <w:rFonts w:hint="eastAsia" w:ascii="方正仿宋_GBK" w:eastAsia="方正仿宋_GBK" w:cs="仿宋_GB2312"/>
          <w:b/>
          <w:bCs/>
          <w:color w:val="auto"/>
          <w:w w:val="98"/>
          <w:szCs w:val="32"/>
        </w:rPr>
        <w:t>坚持</w:t>
      </w:r>
      <w:r>
        <w:rPr>
          <w:rFonts w:ascii="方正仿宋_GBK" w:eastAsia="方正仿宋_GBK" w:cs="仿宋_GB2312"/>
          <w:b/>
          <w:bCs/>
          <w:color w:val="auto"/>
          <w:w w:val="98"/>
          <w:szCs w:val="32"/>
        </w:rPr>
        <w:t>保护</w:t>
      </w:r>
      <w:r>
        <w:rPr>
          <w:rFonts w:hint="eastAsia" w:ascii="方正仿宋_GBK" w:eastAsia="方正仿宋_GBK" w:cs="仿宋_GB2312"/>
          <w:b/>
          <w:bCs/>
          <w:color w:val="auto"/>
          <w:w w:val="98"/>
          <w:szCs w:val="32"/>
        </w:rPr>
        <w:t>生态，</w:t>
      </w:r>
      <w:r>
        <w:rPr>
          <w:rFonts w:ascii="方正仿宋_GBK" w:eastAsia="方正仿宋_GBK" w:cs="仿宋_GB2312"/>
          <w:b/>
          <w:bCs/>
          <w:color w:val="auto"/>
          <w:w w:val="98"/>
          <w:szCs w:val="32"/>
        </w:rPr>
        <w:t>永续</w:t>
      </w:r>
      <w:r>
        <w:rPr>
          <w:rFonts w:hint="eastAsia" w:ascii="方正仿宋_GBK" w:eastAsia="方正仿宋_GBK" w:cs="仿宋_GB2312"/>
          <w:b/>
          <w:bCs/>
          <w:color w:val="auto"/>
          <w:w w:val="98"/>
          <w:szCs w:val="32"/>
        </w:rPr>
        <w:t>利用。</w:t>
      </w:r>
      <w:r>
        <w:rPr>
          <w:rFonts w:hint="eastAsia" w:ascii="仿宋_GB2312" w:eastAsia="仿宋_GB2312" w:cs="仿宋_GB2312"/>
          <w:color w:val="auto"/>
          <w:w w:val="98"/>
          <w:szCs w:val="32"/>
        </w:rPr>
        <w:t>系统开展生态保护修复，防止</w:t>
      </w:r>
      <w:r>
        <w:rPr>
          <w:rFonts w:ascii="仿宋_GB2312" w:eastAsia="仿宋_GB2312" w:cs="仿宋_GB2312"/>
          <w:color w:val="auto"/>
          <w:w w:val="98"/>
          <w:szCs w:val="32"/>
        </w:rPr>
        <w:t>土地次生盐渍化，改善生态环境，</w:t>
      </w:r>
      <w:r>
        <w:rPr>
          <w:rFonts w:hint="eastAsia" w:ascii="仿宋_GB2312" w:eastAsia="仿宋_GB2312" w:cs="仿宋_GB2312"/>
          <w:color w:val="auto"/>
          <w:w w:val="98"/>
          <w:szCs w:val="32"/>
        </w:rPr>
        <w:t>加强新增耕地后期</w:t>
      </w:r>
      <w:r>
        <w:rPr>
          <w:rFonts w:ascii="仿宋_GB2312" w:eastAsia="仿宋_GB2312" w:cs="仿宋_GB2312"/>
          <w:color w:val="auto"/>
          <w:w w:val="98"/>
          <w:szCs w:val="32"/>
        </w:rPr>
        <w:t>经营</w:t>
      </w:r>
      <w:r>
        <w:rPr>
          <w:rFonts w:hint="eastAsia" w:ascii="仿宋_GB2312" w:eastAsia="仿宋_GB2312" w:cs="仿宋_GB2312"/>
          <w:color w:val="auto"/>
          <w:w w:val="98"/>
          <w:szCs w:val="32"/>
        </w:rPr>
        <w:t>管护</w:t>
      </w:r>
      <w:r>
        <w:rPr>
          <w:rFonts w:ascii="仿宋_GB2312" w:eastAsia="仿宋_GB2312" w:cs="仿宋_GB2312"/>
          <w:color w:val="auto"/>
          <w:w w:val="98"/>
          <w:szCs w:val="32"/>
        </w:rPr>
        <w:t>，</w:t>
      </w:r>
      <w:r>
        <w:rPr>
          <w:rFonts w:hint="eastAsia" w:ascii="仿宋_GB2312" w:eastAsia="仿宋_GB2312" w:cs="仿宋_GB2312"/>
          <w:color w:val="auto"/>
          <w:w w:val="98"/>
          <w:szCs w:val="32"/>
        </w:rPr>
        <w:t>确保新增耕地长期稳定利用。</w:t>
      </w:r>
      <w:r>
        <w:rPr>
          <w:rFonts w:hint="eastAsia" w:ascii="方正仿宋_GBK" w:eastAsia="方正仿宋_GBK" w:cs="仿宋_GB2312"/>
          <w:b/>
          <w:bCs/>
          <w:color w:val="auto"/>
          <w:w w:val="98"/>
          <w:szCs w:val="32"/>
        </w:rPr>
        <w:t>坚持政府主导，社会参与。</w:t>
      </w:r>
      <w:r>
        <w:rPr>
          <w:rFonts w:hint="eastAsia" w:ascii="仿宋_GB2312" w:eastAsia="仿宋_GB2312" w:cs="仿宋_GB2312"/>
          <w:color w:val="auto"/>
          <w:w w:val="98"/>
          <w:szCs w:val="32"/>
        </w:rPr>
        <w:t>建立</w:t>
      </w:r>
      <w:r>
        <w:rPr>
          <w:rFonts w:ascii="仿宋_GB2312" w:eastAsia="仿宋_GB2312" w:cs="仿宋_GB2312"/>
          <w:color w:val="auto"/>
          <w:w w:val="98"/>
          <w:szCs w:val="32"/>
        </w:rPr>
        <w:t>健全</w:t>
      </w:r>
      <w:r>
        <w:rPr>
          <w:rFonts w:hint="eastAsia" w:ascii="仿宋_GB2312" w:eastAsia="仿宋_GB2312" w:cs="仿宋_GB2312"/>
          <w:color w:val="auto"/>
          <w:w w:val="98"/>
          <w:szCs w:val="32"/>
        </w:rPr>
        <w:t>激励机制，积极引导国有企业、民营企业、农村集体经济组织、新型农业经营主体等广泛参与盐碱地等耕地后备资源综合利用。</w:t>
      </w:r>
    </w:p>
    <w:p>
      <w:pPr>
        <w:spacing w:line="341" w:lineRule="auto"/>
        <w:ind w:firstLine="626" w:firstLineChars="200"/>
        <w:rPr>
          <w:rFonts w:ascii="仿宋_GB2312" w:eastAsia="仿宋_GB2312" w:cs="仿宋_GB2312"/>
          <w:color w:val="auto"/>
          <w:w w:val="98"/>
          <w:szCs w:val="32"/>
        </w:rPr>
      </w:pPr>
      <w:r>
        <w:rPr>
          <w:rFonts w:hint="eastAsia" w:ascii="楷体_GB2312" w:eastAsia="楷体_GB2312" w:cs="仿宋_GB2312"/>
          <w:color w:val="auto"/>
          <w:w w:val="98"/>
          <w:szCs w:val="32"/>
        </w:rPr>
        <w:t>（三）工作目标</w:t>
      </w:r>
      <w:r>
        <w:rPr>
          <w:rFonts w:ascii="楷体_GB2312" w:eastAsia="楷体_GB2312" w:cs="仿宋_GB2312"/>
          <w:color w:val="auto"/>
          <w:w w:val="98"/>
          <w:szCs w:val="32"/>
        </w:rPr>
        <w:t>。</w:t>
      </w:r>
      <w:r>
        <w:rPr>
          <w:rFonts w:hint="eastAsia" w:ascii="仿宋_GB2312" w:eastAsia="仿宋_GB2312" w:cs="仿宋_GB2312"/>
          <w:color w:val="auto"/>
          <w:w w:val="98"/>
          <w:szCs w:val="32"/>
        </w:rPr>
        <w:t>2022年，摸清</w:t>
      </w:r>
      <w:r>
        <w:rPr>
          <w:rFonts w:ascii="仿宋_GB2312" w:eastAsia="仿宋_GB2312" w:cs="仿宋_GB2312"/>
          <w:color w:val="auto"/>
          <w:w w:val="98"/>
          <w:szCs w:val="32"/>
        </w:rPr>
        <w:t>全省</w:t>
      </w:r>
      <w:r>
        <w:rPr>
          <w:rFonts w:hint="eastAsia" w:ascii="仿宋_GB2312" w:eastAsia="仿宋_GB2312" w:cs="仿宋_GB2312"/>
          <w:color w:val="auto"/>
          <w:w w:val="98"/>
          <w:szCs w:val="32"/>
        </w:rPr>
        <w:t>盐碱地等耕地后备资源底数</w:t>
      </w:r>
      <w:r>
        <w:rPr>
          <w:rFonts w:ascii="仿宋_GB2312" w:eastAsia="仿宋_GB2312" w:cs="仿宋_GB2312"/>
          <w:color w:val="auto"/>
          <w:w w:val="98"/>
          <w:szCs w:val="32"/>
        </w:rPr>
        <w:t>，</w:t>
      </w:r>
      <w:r>
        <w:rPr>
          <w:rFonts w:hint="eastAsia" w:ascii="仿宋_GB2312" w:eastAsia="仿宋_GB2312" w:cs="仿宋_GB2312"/>
          <w:color w:val="auto"/>
          <w:w w:val="98"/>
          <w:szCs w:val="32"/>
        </w:rPr>
        <w:t>编制全省盐碱地等耕地后备资源综合利用</w:t>
      </w:r>
      <w:r>
        <w:rPr>
          <w:rFonts w:ascii="仿宋_GB2312" w:eastAsia="仿宋_GB2312" w:cs="仿宋_GB2312"/>
          <w:color w:val="auto"/>
          <w:w w:val="98"/>
          <w:szCs w:val="32"/>
        </w:rPr>
        <w:t>工程建设方案</w:t>
      </w:r>
      <w:r>
        <w:rPr>
          <w:rFonts w:hint="eastAsia" w:ascii="仿宋_GB2312" w:eastAsia="仿宋_GB2312" w:cs="仿宋_GB2312"/>
          <w:color w:val="auto"/>
          <w:w w:val="98"/>
          <w:szCs w:val="32"/>
        </w:rPr>
        <w:t>（2022-2035年）；2025年，建立规划引领、科学有序、技术完备、生态安全的盐碱地等耕地后备资源综合利用体系</w:t>
      </w:r>
      <w:r>
        <w:rPr>
          <w:rFonts w:ascii="仿宋_GB2312" w:eastAsia="仿宋_GB2312" w:cs="仿宋_GB2312"/>
          <w:color w:val="auto"/>
          <w:w w:val="98"/>
          <w:szCs w:val="32"/>
        </w:rPr>
        <w:t>，盐碱地</w:t>
      </w:r>
      <w:r>
        <w:rPr>
          <w:rFonts w:hint="eastAsia" w:ascii="仿宋_GB2312" w:eastAsia="仿宋_GB2312" w:cs="仿宋_GB2312"/>
          <w:color w:val="auto"/>
          <w:w w:val="98"/>
          <w:szCs w:val="32"/>
        </w:rPr>
        <w:t>综合利用水平明显提升，开发盐碱地等耕地后备资源实现新增耕地16</w:t>
      </w:r>
      <w:r>
        <w:rPr>
          <w:rFonts w:hint="eastAsia" w:ascii="仿宋_GB2312" w:eastAsia="仿宋_GB2312" w:cs="仿宋_GB2312"/>
          <w:color w:val="auto"/>
          <w:w w:val="98"/>
          <w:szCs w:val="32"/>
          <w:lang w:val="en-US" w:eastAsia="zh-CN"/>
        </w:rPr>
        <w:t>6</w:t>
      </w:r>
      <w:r>
        <w:rPr>
          <w:rFonts w:hint="eastAsia" w:ascii="仿宋_GB2312" w:eastAsia="仿宋_GB2312" w:cs="仿宋_GB2312"/>
          <w:color w:val="auto"/>
          <w:w w:val="98"/>
          <w:szCs w:val="32"/>
        </w:rPr>
        <w:t>万亩；2035年，开发盐碱地等耕地后备资源实现新增耕地365万亩。</w:t>
      </w:r>
    </w:p>
    <w:p>
      <w:pPr>
        <w:spacing w:line="341" w:lineRule="auto"/>
        <w:ind w:firstLine="626" w:firstLineChars="200"/>
        <w:rPr>
          <w:rFonts w:ascii="黑体" w:eastAsia="黑体" w:cs="黑体"/>
          <w:color w:val="auto"/>
          <w:w w:val="98"/>
          <w:szCs w:val="32"/>
        </w:rPr>
      </w:pPr>
      <w:r>
        <w:rPr>
          <w:rFonts w:hint="eastAsia" w:ascii="黑体" w:eastAsia="黑体" w:cs="黑体"/>
          <w:color w:val="auto"/>
          <w:w w:val="98"/>
          <w:szCs w:val="32"/>
        </w:rPr>
        <w:t>二、深化资源调查评价</w:t>
      </w:r>
    </w:p>
    <w:p>
      <w:pPr>
        <w:spacing w:line="341" w:lineRule="auto"/>
        <w:ind w:firstLine="626" w:firstLineChars="200"/>
        <w:rPr>
          <w:rFonts w:ascii="楷体_GB2312" w:eastAsia="楷体_GB2312" w:cs="黑体"/>
          <w:color w:val="auto"/>
          <w:w w:val="98"/>
          <w:szCs w:val="32"/>
        </w:rPr>
      </w:pPr>
      <w:r>
        <w:rPr>
          <w:rFonts w:hint="eastAsia" w:ascii="楷体_GB2312" w:eastAsia="楷体_GB2312" w:cs="仿宋_GB2312"/>
          <w:color w:val="auto"/>
          <w:w w:val="98"/>
          <w:szCs w:val="32"/>
        </w:rPr>
        <w:t>（四）做细耕地后备资源调查评价</w:t>
      </w:r>
      <w:r>
        <w:rPr>
          <w:rFonts w:ascii="楷体_GB2312" w:eastAsia="楷体_GB2312" w:cs="仿宋_GB2312"/>
          <w:color w:val="auto"/>
          <w:w w:val="98"/>
          <w:szCs w:val="32"/>
        </w:rPr>
        <w:t>。</w:t>
      </w:r>
      <w:r>
        <w:rPr>
          <w:rFonts w:hint="eastAsia" w:ascii="仿宋_GB2312" w:eastAsia="仿宋_GB2312" w:cs="仿宋_GB2312"/>
          <w:color w:val="auto"/>
          <w:w w:val="98"/>
          <w:szCs w:val="32"/>
        </w:rPr>
        <w:t>结合第三次国土调查、第三次土壤普查和水资源调查等相关数据成果，深入分析研究，全面摸清全省盐碱地等耕地后备资源数量、分布、生态条件、土壤质地、盐渍化程度、水资源匹配等情况，形成详细</w:t>
      </w:r>
      <w:r>
        <w:rPr>
          <w:rFonts w:ascii="仿宋_GB2312" w:eastAsia="仿宋_GB2312" w:cs="仿宋_GB2312"/>
          <w:color w:val="auto"/>
          <w:w w:val="98"/>
          <w:szCs w:val="32"/>
        </w:rPr>
        <w:t>调查评价</w:t>
      </w:r>
      <w:r>
        <w:rPr>
          <w:rFonts w:hint="eastAsia" w:ascii="仿宋_GB2312" w:eastAsia="仿宋_GB2312" w:cs="仿宋_GB2312"/>
          <w:color w:val="auto"/>
          <w:w w:val="98"/>
          <w:szCs w:val="32"/>
        </w:rPr>
        <w:t>成果</w:t>
      </w:r>
      <w:r>
        <w:rPr>
          <w:rFonts w:ascii="仿宋_GB2312" w:eastAsia="仿宋_GB2312" w:cs="仿宋_GB2312"/>
          <w:color w:val="auto"/>
          <w:w w:val="98"/>
          <w:szCs w:val="32"/>
        </w:rPr>
        <w:t>，建立全省耕地后备资源数据库</w:t>
      </w:r>
      <w:r>
        <w:rPr>
          <w:rFonts w:hint="eastAsia" w:ascii="仿宋_GB2312" w:eastAsia="仿宋_GB2312" w:cs="仿宋_GB2312"/>
          <w:color w:val="auto"/>
          <w:w w:val="98"/>
          <w:szCs w:val="32"/>
        </w:rPr>
        <w:t>。</w:t>
      </w:r>
      <w:r>
        <w:rPr>
          <w:rFonts w:hint="eastAsia" w:ascii="楷体_GB2312" w:eastAsia="楷体_GB2312" w:cs="方正楷体_GBK"/>
          <w:color w:val="auto"/>
          <w:w w:val="98"/>
          <w:szCs w:val="32"/>
        </w:rPr>
        <w:t>（省自然资源厅、省水利厅、省农业农村厅</w:t>
      </w:r>
      <w:r>
        <w:rPr>
          <w:rFonts w:hint="eastAsia" w:ascii="楷体_GB2312" w:eastAsia="楷体_GB2312" w:cs="方正楷体_GBK"/>
          <w:color w:val="auto"/>
          <w:w w:val="98"/>
          <w:szCs w:val="32"/>
          <w:lang w:eastAsia="zh-CN"/>
        </w:rPr>
        <w:t>按职责分工分别负责</w:t>
      </w:r>
      <w:r>
        <w:rPr>
          <w:rFonts w:hint="eastAsia" w:ascii="楷体_GB2312" w:eastAsia="楷体_GB2312" w:cs="方正楷体_GBK"/>
          <w:color w:val="auto"/>
          <w:w w:val="98"/>
          <w:szCs w:val="32"/>
        </w:rPr>
        <w:t>）</w:t>
      </w:r>
    </w:p>
    <w:p>
      <w:pPr>
        <w:spacing w:line="341" w:lineRule="auto"/>
        <w:ind w:firstLine="626" w:firstLineChars="200"/>
        <w:rPr>
          <w:rFonts w:ascii="楷体_GB2312" w:eastAsia="楷体_GB2312" w:cs="方正楷体_GBK"/>
          <w:color w:val="auto"/>
          <w:w w:val="98"/>
          <w:szCs w:val="32"/>
        </w:rPr>
      </w:pPr>
      <w:r>
        <w:rPr>
          <w:rFonts w:hint="eastAsia" w:ascii="楷体_GB2312" w:eastAsia="楷体_GB2312" w:cs="仿宋_GB2312"/>
          <w:color w:val="auto"/>
          <w:w w:val="98"/>
          <w:szCs w:val="32"/>
        </w:rPr>
        <w:t>（五）做实水土资源匹配评估论证</w:t>
      </w:r>
      <w:r>
        <w:rPr>
          <w:rFonts w:ascii="楷体_GB2312" w:eastAsia="楷体_GB2312" w:cs="仿宋_GB2312"/>
          <w:color w:val="auto"/>
          <w:w w:val="98"/>
          <w:szCs w:val="32"/>
        </w:rPr>
        <w:t>。</w:t>
      </w:r>
      <w:r>
        <w:rPr>
          <w:rFonts w:hint="eastAsia" w:ascii="仿宋_GB2312" w:eastAsia="仿宋_GB2312" w:cs="仿宋_GB2312"/>
          <w:color w:val="auto"/>
          <w:w w:val="98"/>
          <w:szCs w:val="32"/>
        </w:rPr>
        <w:t>根据盐碱地等耕地后备资源调查评价成果，结合骨干水利工程建设进度、通水区域和灌溉条件等，充分论证盐碱地等耕地后备资源水土匹配情况，科学确定开发利用</w:t>
      </w:r>
      <w:r>
        <w:rPr>
          <w:rFonts w:ascii="仿宋_GB2312" w:eastAsia="仿宋_GB2312" w:cs="仿宋_GB2312"/>
          <w:color w:val="auto"/>
          <w:w w:val="98"/>
          <w:szCs w:val="32"/>
        </w:rPr>
        <w:t>范围和</w:t>
      </w:r>
      <w:r>
        <w:rPr>
          <w:rFonts w:hint="eastAsia" w:ascii="仿宋_GB2312" w:eastAsia="仿宋_GB2312" w:cs="仿宋_GB2312"/>
          <w:color w:val="auto"/>
          <w:w w:val="98"/>
          <w:szCs w:val="32"/>
        </w:rPr>
        <w:t>时序。</w:t>
      </w:r>
      <w:r>
        <w:rPr>
          <w:rFonts w:hint="eastAsia" w:ascii="楷体_GB2312" w:eastAsia="楷体_GB2312" w:cs="方正楷体_GBK"/>
          <w:color w:val="auto"/>
          <w:w w:val="98"/>
          <w:szCs w:val="32"/>
        </w:rPr>
        <w:t>（省自然资源厅、省水利厅</w:t>
      </w:r>
      <w:r>
        <w:rPr>
          <w:rFonts w:hint="eastAsia" w:ascii="楷体_GB2312" w:eastAsia="楷体_GB2312" w:cs="方正楷体_GBK"/>
          <w:color w:val="auto"/>
          <w:w w:val="98"/>
          <w:szCs w:val="32"/>
          <w:lang w:eastAsia="zh-CN"/>
        </w:rPr>
        <w:t>按职责分工分别负责</w:t>
      </w:r>
      <w:r>
        <w:rPr>
          <w:rFonts w:hint="eastAsia" w:ascii="楷体_GB2312" w:eastAsia="楷体_GB2312" w:cs="方正楷体_GBK"/>
          <w:color w:val="auto"/>
          <w:w w:val="98"/>
          <w:szCs w:val="32"/>
        </w:rPr>
        <w:t>）</w:t>
      </w:r>
    </w:p>
    <w:p>
      <w:pPr>
        <w:spacing w:line="341" w:lineRule="auto"/>
        <w:rPr>
          <w:rFonts w:ascii="楷体_GB2312" w:eastAsia="楷体_GB2312" w:cs="方正楷体_GBK"/>
          <w:color w:val="auto"/>
          <w:w w:val="98"/>
          <w:szCs w:val="32"/>
        </w:rPr>
      </w:pPr>
      <w:r>
        <w:rPr>
          <w:rFonts w:hint="eastAsia" w:ascii="方正楷体_GBK" w:eastAsia="方正楷体_GBK" w:cs="方正楷体_GBK"/>
          <w:color w:val="auto"/>
          <w:w w:val="98"/>
          <w:szCs w:val="32"/>
        </w:rPr>
        <w:t xml:space="preserve">  </w:t>
      </w:r>
      <w:r>
        <w:rPr>
          <w:rFonts w:hint="eastAsia" w:ascii="楷体_GB2312" w:eastAsia="楷体_GB2312" w:cs="仿宋_GB2312"/>
          <w:color w:val="auto"/>
          <w:w w:val="98"/>
          <w:szCs w:val="32"/>
        </w:rPr>
        <w:t xml:space="preserve">  （六）查清土地权属和经营状况</w:t>
      </w:r>
      <w:r>
        <w:rPr>
          <w:rFonts w:ascii="楷体_GB2312" w:eastAsia="楷体_GB2312" w:cs="仿宋_GB2312"/>
          <w:color w:val="auto"/>
          <w:w w:val="98"/>
          <w:szCs w:val="32"/>
        </w:rPr>
        <w:t>。</w:t>
      </w:r>
      <w:r>
        <w:rPr>
          <w:rFonts w:hint="eastAsia" w:ascii="仿宋_GB2312" w:eastAsia="仿宋_GB2312" w:cs="仿宋_GB2312"/>
          <w:color w:val="auto"/>
          <w:w w:val="98"/>
          <w:szCs w:val="32"/>
        </w:rPr>
        <w:t>在盐碱地等耕地后备资源调查评价基础上，将耕地后备资源土地权属、承包经营情况纳入调查范围，逐地块查清土地权属类型、经营主体</w:t>
      </w:r>
      <w:r>
        <w:rPr>
          <w:rFonts w:ascii="仿宋_GB2312" w:eastAsia="仿宋_GB2312" w:cs="仿宋_GB2312"/>
          <w:color w:val="auto"/>
          <w:w w:val="98"/>
          <w:szCs w:val="32"/>
        </w:rPr>
        <w:t>和利用</w:t>
      </w:r>
      <w:r>
        <w:rPr>
          <w:rFonts w:hint="eastAsia" w:ascii="仿宋_GB2312" w:eastAsia="仿宋_GB2312" w:cs="仿宋_GB2312"/>
          <w:color w:val="auto"/>
          <w:w w:val="98"/>
          <w:szCs w:val="32"/>
        </w:rPr>
        <w:t>状况</w:t>
      </w:r>
      <w:r>
        <w:rPr>
          <w:rFonts w:ascii="仿宋_GB2312" w:eastAsia="仿宋_GB2312" w:cs="仿宋_GB2312"/>
          <w:color w:val="auto"/>
          <w:w w:val="98"/>
          <w:szCs w:val="32"/>
        </w:rPr>
        <w:t>等</w:t>
      </w:r>
      <w:r>
        <w:rPr>
          <w:rFonts w:hint="eastAsia" w:ascii="仿宋_GB2312" w:eastAsia="仿宋_GB2312" w:cs="仿宋_GB2312"/>
          <w:color w:val="auto"/>
          <w:w w:val="98"/>
          <w:szCs w:val="32"/>
        </w:rPr>
        <w:t>，</w:t>
      </w:r>
      <w:r>
        <w:rPr>
          <w:rFonts w:ascii="仿宋_GB2312" w:eastAsia="仿宋_GB2312" w:cs="仿宋_GB2312"/>
          <w:color w:val="auto"/>
          <w:w w:val="98"/>
          <w:szCs w:val="32"/>
        </w:rPr>
        <w:t>一并</w:t>
      </w:r>
      <w:r>
        <w:rPr>
          <w:rFonts w:hint="eastAsia" w:ascii="仿宋_GB2312" w:eastAsia="仿宋_GB2312" w:cs="仿宋_GB2312"/>
          <w:color w:val="auto"/>
          <w:w w:val="98"/>
          <w:szCs w:val="32"/>
        </w:rPr>
        <w:t>纳入盐碱地等耕地后备资源调查评价数据成果。</w:t>
      </w:r>
      <w:r>
        <w:rPr>
          <w:rFonts w:hint="eastAsia" w:ascii="楷体_GB2312" w:eastAsia="楷体_GB2312" w:cs="方正楷体_GBK"/>
          <w:color w:val="auto"/>
          <w:w w:val="98"/>
          <w:szCs w:val="32"/>
        </w:rPr>
        <w:t>（省自然资源厅）</w:t>
      </w:r>
    </w:p>
    <w:p>
      <w:pPr>
        <w:spacing w:line="341" w:lineRule="auto"/>
        <w:ind w:firstLine="626" w:firstLineChars="200"/>
        <w:rPr>
          <w:rFonts w:ascii="黑体" w:eastAsia="黑体" w:cs="黑体"/>
          <w:color w:val="auto"/>
          <w:w w:val="98"/>
          <w:szCs w:val="32"/>
        </w:rPr>
      </w:pPr>
      <w:r>
        <w:rPr>
          <w:rFonts w:hint="eastAsia" w:ascii="黑体" w:eastAsia="黑体" w:cs="黑体"/>
          <w:color w:val="auto"/>
          <w:w w:val="98"/>
          <w:szCs w:val="32"/>
        </w:rPr>
        <w:t>三、加强规划计划统筹</w:t>
      </w:r>
    </w:p>
    <w:p>
      <w:pPr>
        <w:spacing w:line="341" w:lineRule="auto"/>
        <w:ind w:firstLine="640"/>
        <w:rPr>
          <w:rFonts w:ascii="楷体_GB2312" w:eastAsia="楷体_GB2312" w:cs="方正楷体_GBK"/>
          <w:color w:val="auto"/>
          <w:w w:val="98"/>
          <w:szCs w:val="32"/>
        </w:rPr>
      </w:pPr>
      <w:r>
        <w:rPr>
          <w:rFonts w:hint="eastAsia" w:ascii="楷体_GB2312" w:eastAsia="楷体_GB2312" w:cs="仿宋_GB2312"/>
          <w:color w:val="auto"/>
          <w:w w:val="98"/>
          <w:szCs w:val="32"/>
        </w:rPr>
        <w:t>（七）编制全省</w:t>
      </w:r>
      <w:r>
        <w:rPr>
          <w:rFonts w:ascii="楷体_GB2312" w:eastAsia="楷体_GB2312" w:cs="仿宋_GB2312"/>
          <w:color w:val="auto"/>
          <w:w w:val="98"/>
          <w:szCs w:val="32"/>
        </w:rPr>
        <w:t>总</w:t>
      </w:r>
      <w:r>
        <w:rPr>
          <w:rFonts w:hint="eastAsia" w:ascii="楷体_GB2312" w:eastAsia="楷体_GB2312" w:cs="仿宋_GB2312"/>
          <w:color w:val="auto"/>
          <w:w w:val="98"/>
          <w:szCs w:val="32"/>
        </w:rPr>
        <w:t>建设方案</w:t>
      </w:r>
      <w:r>
        <w:rPr>
          <w:rFonts w:ascii="楷体_GB2312" w:eastAsia="楷体_GB2312" w:cs="仿宋_GB2312"/>
          <w:color w:val="auto"/>
          <w:w w:val="98"/>
          <w:szCs w:val="32"/>
        </w:rPr>
        <w:t>。</w:t>
      </w:r>
      <w:r>
        <w:rPr>
          <w:rFonts w:hint="eastAsia" w:ascii="仿宋_GB2312" w:eastAsia="仿宋_GB2312" w:cs="仿宋_GB2312"/>
          <w:color w:val="auto"/>
          <w:w w:val="98"/>
          <w:szCs w:val="32"/>
        </w:rPr>
        <w:t>严格水资源刚性约束，科学编制全省盐碱地等耕地后备资源综合利用工程建设方案，明确</w:t>
      </w:r>
      <w:r>
        <w:rPr>
          <w:rFonts w:ascii="仿宋_GB2312" w:eastAsia="仿宋_GB2312" w:cs="仿宋_GB2312"/>
          <w:color w:val="auto"/>
          <w:w w:val="98"/>
          <w:szCs w:val="32"/>
        </w:rPr>
        <w:t>综合</w:t>
      </w:r>
      <w:r>
        <w:rPr>
          <w:rFonts w:hint="eastAsia" w:ascii="仿宋_GB2312" w:eastAsia="仿宋_GB2312" w:cs="仿宋_GB2312"/>
          <w:color w:val="auto"/>
          <w:w w:val="98"/>
          <w:szCs w:val="32"/>
        </w:rPr>
        <w:t>利用布局、规模和时序，确定实施流程和建设内容，并对环境影响和</w:t>
      </w:r>
      <w:r>
        <w:rPr>
          <w:rFonts w:ascii="仿宋_GB2312" w:eastAsia="仿宋_GB2312" w:cs="仿宋_GB2312"/>
          <w:color w:val="auto"/>
          <w:w w:val="98"/>
          <w:szCs w:val="32"/>
        </w:rPr>
        <w:t>项目</w:t>
      </w:r>
      <w:r>
        <w:rPr>
          <w:rFonts w:hint="eastAsia" w:ascii="仿宋_GB2312" w:eastAsia="仿宋_GB2312" w:cs="仿宋_GB2312"/>
          <w:color w:val="auto"/>
          <w:w w:val="98"/>
          <w:szCs w:val="32"/>
        </w:rPr>
        <w:t>效益进行深入分析，提出保障措施。</w:t>
      </w:r>
      <w:r>
        <w:rPr>
          <w:rFonts w:hint="eastAsia" w:ascii="楷体_GB2312" w:eastAsia="楷体_GB2312" w:cs="方正楷体_GBK"/>
          <w:color w:val="auto"/>
          <w:w w:val="98"/>
          <w:szCs w:val="32"/>
        </w:rPr>
        <w:t>（省自然资源厅、省水利厅、省农业农村厅、省生态环境厅</w:t>
      </w:r>
      <w:r>
        <w:rPr>
          <w:rFonts w:hint="eastAsia" w:ascii="楷体_GB2312" w:eastAsia="楷体_GB2312" w:cs="方正楷体_GBK"/>
          <w:color w:val="auto"/>
          <w:w w:val="98"/>
          <w:szCs w:val="32"/>
          <w:lang w:eastAsia="zh-CN"/>
        </w:rPr>
        <w:t>按职责分工分别负责</w:t>
      </w:r>
      <w:r>
        <w:rPr>
          <w:rFonts w:hint="eastAsia" w:ascii="楷体_GB2312" w:eastAsia="楷体_GB2312" w:cs="方正楷体_GBK"/>
          <w:color w:val="auto"/>
          <w:w w:val="98"/>
          <w:szCs w:val="32"/>
        </w:rPr>
        <w:t>）</w:t>
      </w:r>
    </w:p>
    <w:p>
      <w:pPr>
        <w:spacing w:line="341" w:lineRule="auto"/>
        <w:ind w:firstLine="640"/>
        <w:rPr>
          <w:rFonts w:ascii="楷体_GB2312" w:eastAsia="楷体_GB2312" w:cs="方正楷体_GBK"/>
          <w:color w:val="auto"/>
          <w:w w:val="98"/>
          <w:szCs w:val="32"/>
        </w:rPr>
      </w:pPr>
      <w:r>
        <w:rPr>
          <w:rFonts w:hint="eastAsia" w:ascii="楷体_GB2312" w:eastAsia="楷体_GB2312" w:cs="仿宋_GB2312"/>
          <w:color w:val="auto"/>
          <w:w w:val="98"/>
          <w:szCs w:val="32"/>
        </w:rPr>
        <w:t>（八）编制分年度建设方案</w:t>
      </w:r>
      <w:r>
        <w:rPr>
          <w:rFonts w:ascii="楷体_GB2312" w:eastAsia="楷体_GB2312" w:cs="仿宋_GB2312"/>
          <w:color w:val="auto"/>
          <w:w w:val="98"/>
          <w:szCs w:val="32"/>
        </w:rPr>
        <w:t>。</w:t>
      </w:r>
      <w:r>
        <w:rPr>
          <w:rFonts w:ascii="仿宋_GB2312" w:eastAsia="仿宋_GB2312" w:cs="仿宋_GB2312"/>
          <w:color w:val="auto"/>
          <w:w w:val="98"/>
          <w:szCs w:val="32"/>
        </w:rPr>
        <w:t>依据</w:t>
      </w:r>
      <w:r>
        <w:rPr>
          <w:rFonts w:hint="eastAsia" w:ascii="仿宋_GB2312" w:eastAsia="仿宋_GB2312" w:cs="仿宋_GB2312"/>
          <w:color w:val="auto"/>
          <w:w w:val="98"/>
          <w:szCs w:val="32"/>
        </w:rPr>
        <w:t>盐碱地等耕地后备资源综合利用工程</w:t>
      </w:r>
      <w:r>
        <w:rPr>
          <w:rFonts w:ascii="仿宋_GB2312" w:eastAsia="仿宋_GB2312" w:cs="仿宋_GB2312"/>
          <w:color w:val="auto"/>
          <w:w w:val="98"/>
          <w:szCs w:val="32"/>
        </w:rPr>
        <w:t>总</w:t>
      </w:r>
      <w:r>
        <w:rPr>
          <w:rFonts w:hint="eastAsia" w:ascii="仿宋_GB2312" w:eastAsia="仿宋_GB2312" w:cs="仿宋_GB2312"/>
          <w:color w:val="auto"/>
          <w:w w:val="98"/>
          <w:szCs w:val="32"/>
        </w:rPr>
        <w:t>建设方案，编制全省分年度建设方案，</w:t>
      </w:r>
      <w:r>
        <w:rPr>
          <w:rFonts w:ascii="仿宋_GB2312" w:eastAsia="仿宋_GB2312" w:cs="仿宋_GB2312"/>
          <w:color w:val="auto"/>
          <w:w w:val="98"/>
          <w:szCs w:val="32"/>
        </w:rPr>
        <w:t>进一步</w:t>
      </w:r>
      <w:r>
        <w:rPr>
          <w:rFonts w:hint="eastAsia" w:ascii="仿宋_GB2312" w:eastAsia="仿宋_GB2312" w:cs="仿宋_GB2312"/>
          <w:color w:val="auto"/>
          <w:w w:val="98"/>
          <w:szCs w:val="32"/>
        </w:rPr>
        <w:t>明确年度建设目标，统筹</w:t>
      </w:r>
      <w:r>
        <w:rPr>
          <w:rFonts w:ascii="仿宋_GB2312" w:eastAsia="仿宋_GB2312" w:cs="仿宋_GB2312"/>
          <w:color w:val="auto"/>
          <w:w w:val="98"/>
          <w:szCs w:val="32"/>
        </w:rPr>
        <w:t>安排整治</w:t>
      </w:r>
      <w:r>
        <w:rPr>
          <w:rFonts w:hint="eastAsia" w:ascii="仿宋_GB2312" w:eastAsia="仿宋_GB2312" w:cs="仿宋_GB2312"/>
          <w:color w:val="auto"/>
          <w:w w:val="98"/>
          <w:szCs w:val="32"/>
        </w:rPr>
        <w:t>项目，确定建设内容</w:t>
      </w:r>
      <w:r>
        <w:rPr>
          <w:rFonts w:ascii="仿宋_GB2312" w:eastAsia="仿宋_GB2312" w:cs="仿宋_GB2312"/>
          <w:color w:val="auto"/>
          <w:w w:val="98"/>
          <w:szCs w:val="32"/>
        </w:rPr>
        <w:t>和</w:t>
      </w:r>
      <w:r>
        <w:rPr>
          <w:rFonts w:hint="eastAsia" w:ascii="仿宋_GB2312" w:eastAsia="仿宋_GB2312" w:cs="仿宋_GB2312"/>
          <w:color w:val="auto"/>
          <w:w w:val="98"/>
          <w:szCs w:val="32"/>
        </w:rPr>
        <w:t>投资计划。</w:t>
      </w:r>
      <w:r>
        <w:rPr>
          <w:rFonts w:hint="eastAsia" w:ascii="楷体_GB2312" w:eastAsia="楷体_GB2312" w:cs="方正楷体_GBK"/>
          <w:color w:val="auto"/>
          <w:w w:val="98"/>
          <w:szCs w:val="32"/>
        </w:rPr>
        <w:t>（省自然资源厅）</w:t>
      </w:r>
    </w:p>
    <w:p>
      <w:pPr>
        <w:spacing w:line="341" w:lineRule="auto"/>
        <w:ind w:firstLine="640"/>
        <w:rPr>
          <w:rFonts w:ascii="楷体_GB2312" w:eastAsia="楷体_GB2312" w:cs="方正楷体_GBK"/>
          <w:color w:val="auto"/>
          <w:w w:val="98"/>
          <w:szCs w:val="32"/>
        </w:rPr>
      </w:pPr>
      <w:r>
        <w:rPr>
          <w:rFonts w:hint="eastAsia" w:ascii="楷体_GB2312" w:eastAsia="楷体_GB2312" w:cs="仿宋_GB2312"/>
          <w:color w:val="auto"/>
          <w:w w:val="98"/>
          <w:szCs w:val="32"/>
        </w:rPr>
        <w:t>（九）编制</w:t>
      </w:r>
      <w:r>
        <w:rPr>
          <w:rFonts w:ascii="楷体_GB2312" w:eastAsia="楷体_GB2312" w:cs="仿宋_GB2312"/>
          <w:color w:val="auto"/>
          <w:w w:val="98"/>
          <w:szCs w:val="32"/>
        </w:rPr>
        <w:t>分地区</w:t>
      </w:r>
      <w:r>
        <w:rPr>
          <w:rFonts w:hint="eastAsia" w:ascii="楷体_GB2312" w:eastAsia="楷体_GB2312" w:cs="仿宋_GB2312"/>
          <w:color w:val="auto"/>
          <w:w w:val="98"/>
          <w:szCs w:val="32"/>
        </w:rPr>
        <w:t>建设方案</w:t>
      </w:r>
      <w:r>
        <w:rPr>
          <w:rFonts w:ascii="楷体_GB2312" w:eastAsia="楷体_GB2312" w:cs="仿宋_GB2312"/>
          <w:color w:val="auto"/>
          <w:w w:val="98"/>
          <w:szCs w:val="32"/>
        </w:rPr>
        <w:t>。</w:t>
      </w:r>
      <w:r>
        <w:rPr>
          <w:rFonts w:hint="eastAsia" w:ascii="仿宋_GB2312" w:eastAsia="仿宋_GB2312" w:cs="仿宋_GB2312"/>
          <w:color w:val="auto"/>
          <w:w w:val="98"/>
          <w:szCs w:val="32"/>
        </w:rPr>
        <w:t>市</w:t>
      </w:r>
      <w:r>
        <w:rPr>
          <w:rFonts w:ascii="仿宋_GB2312" w:eastAsia="仿宋_GB2312" w:cs="仿宋_GB2312"/>
          <w:color w:val="auto"/>
          <w:w w:val="98"/>
          <w:szCs w:val="32"/>
        </w:rPr>
        <w:t>、</w:t>
      </w:r>
      <w:r>
        <w:rPr>
          <w:rFonts w:hint="eastAsia" w:ascii="仿宋_GB2312" w:eastAsia="仿宋_GB2312" w:cs="仿宋_GB2312"/>
          <w:color w:val="auto"/>
          <w:w w:val="98"/>
          <w:szCs w:val="32"/>
        </w:rPr>
        <w:t>县政府按照全省盐碱地等耕地后备资源综合利用工程建设总方案和年度建设方案要求，</w:t>
      </w:r>
      <w:r>
        <w:rPr>
          <w:rFonts w:ascii="仿宋_GB2312" w:eastAsia="仿宋_GB2312" w:cs="仿宋_GB2312"/>
          <w:color w:val="auto"/>
          <w:w w:val="98"/>
          <w:szCs w:val="32"/>
        </w:rPr>
        <w:t>组织</w:t>
      </w:r>
      <w:r>
        <w:rPr>
          <w:rFonts w:hint="eastAsia" w:ascii="仿宋_GB2312" w:eastAsia="仿宋_GB2312" w:cs="仿宋_GB2312"/>
          <w:color w:val="auto"/>
          <w:w w:val="98"/>
          <w:szCs w:val="32"/>
        </w:rPr>
        <w:t>编制</w:t>
      </w:r>
      <w:r>
        <w:rPr>
          <w:rFonts w:ascii="仿宋_GB2312" w:eastAsia="仿宋_GB2312" w:cs="仿宋_GB2312"/>
          <w:color w:val="auto"/>
          <w:w w:val="98"/>
          <w:szCs w:val="32"/>
        </w:rPr>
        <w:t>本地区</w:t>
      </w:r>
      <w:r>
        <w:rPr>
          <w:rFonts w:hint="eastAsia" w:ascii="仿宋_GB2312" w:eastAsia="仿宋_GB2312" w:cs="仿宋_GB2312"/>
          <w:color w:val="auto"/>
          <w:w w:val="98"/>
          <w:szCs w:val="32"/>
        </w:rPr>
        <w:t>年度建设方案，明确实施</w:t>
      </w:r>
      <w:r>
        <w:rPr>
          <w:rFonts w:ascii="仿宋_GB2312" w:eastAsia="仿宋_GB2312" w:cs="仿宋_GB2312"/>
          <w:color w:val="auto"/>
          <w:w w:val="98"/>
          <w:szCs w:val="32"/>
        </w:rPr>
        <w:t>的具体项目，确定</w:t>
      </w:r>
      <w:r>
        <w:rPr>
          <w:rFonts w:hint="eastAsia" w:ascii="仿宋_GB2312" w:eastAsia="仿宋_GB2312" w:cs="仿宋_GB2312"/>
          <w:color w:val="auto"/>
          <w:w w:val="98"/>
          <w:szCs w:val="32"/>
        </w:rPr>
        <w:t>建设规模</w:t>
      </w:r>
      <w:r>
        <w:rPr>
          <w:rFonts w:ascii="仿宋_GB2312" w:eastAsia="仿宋_GB2312" w:cs="仿宋_GB2312"/>
          <w:color w:val="auto"/>
          <w:w w:val="98"/>
          <w:szCs w:val="32"/>
        </w:rPr>
        <w:t>、</w:t>
      </w:r>
      <w:r>
        <w:rPr>
          <w:rFonts w:hint="eastAsia" w:ascii="仿宋_GB2312" w:eastAsia="仿宋_GB2312" w:cs="仿宋_GB2312"/>
          <w:color w:val="auto"/>
          <w:w w:val="98"/>
          <w:szCs w:val="32"/>
        </w:rPr>
        <w:t>新增耕地面积，</w:t>
      </w:r>
      <w:r>
        <w:rPr>
          <w:rFonts w:ascii="仿宋_GB2312" w:eastAsia="仿宋_GB2312" w:cs="仿宋_GB2312"/>
          <w:color w:val="auto"/>
          <w:w w:val="98"/>
          <w:szCs w:val="32"/>
        </w:rPr>
        <w:t>落实</w:t>
      </w:r>
      <w:r>
        <w:rPr>
          <w:rFonts w:hint="eastAsia" w:ascii="仿宋_GB2312" w:eastAsia="仿宋_GB2312" w:cs="仿宋_GB2312"/>
          <w:color w:val="auto"/>
          <w:w w:val="98"/>
          <w:szCs w:val="32"/>
        </w:rPr>
        <w:t>项目立项、实施和竣工验收</w:t>
      </w:r>
      <w:r>
        <w:rPr>
          <w:rFonts w:ascii="仿宋_GB2312" w:eastAsia="仿宋_GB2312" w:cs="仿宋_GB2312"/>
          <w:color w:val="auto"/>
          <w:w w:val="98"/>
          <w:szCs w:val="32"/>
        </w:rPr>
        <w:t>各环节工作</w:t>
      </w:r>
      <w:r>
        <w:rPr>
          <w:rFonts w:hint="eastAsia" w:ascii="仿宋_GB2312" w:eastAsia="仿宋_GB2312" w:cs="仿宋_GB2312"/>
          <w:color w:val="auto"/>
          <w:w w:val="98"/>
          <w:szCs w:val="32"/>
        </w:rPr>
        <w:t>。</w:t>
      </w:r>
      <w:r>
        <w:rPr>
          <w:rFonts w:hint="eastAsia" w:ascii="楷体_GB2312" w:eastAsia="楷体_GB2312" w:cs="方正楷体_GBK"/>
          <w:color w:val="auto"/>
          <w:w w:val="98"/>
          <w:szCs w:val="32"/>
        </w:rPr>
        <w:t>（市、县人民政府）</w:t>
      </w:r>
    </w:p>
    <w:p>
      <w:pPr>
        <w:spacing w:line="341" w:lineRule="auto"/>
        <w:ind w:firstLine="626" w:firstLineChars="200"/>
        <w:rPr>
          <w:rFonts w:ascii="黑体" w:eastAsia="黑体" w:cs="仿宋_GB2312"/>
          <w:color w:val="auto"/>
          <w:w w:val="98"/>
          <w:szCs w:val="32"/>
        </w:rPr>
      </w:pPr>
      <w:r>
        <w:rPr>
          <w:rFonts w:ascii="黑体" w:eastAsia="黑体" w:cs="黑体"/>
          <w:color w:val="auto"/>
          <w:w w:val="98"/>
          <w:szCs w:val="32"/>
        </w:rPr>
        <w:t>四</w:t>
      </w:r>
      <w:r>
        <w:rPr>
          <w:rFonts w:hint="eastAsia" w:ascii="黑体" w:eastAsia="黑体" w:cs="黑体"/>
          <w:color w:val="auto"/>
          <w:w w:val="98"/>
          <w:szCs w:val="32"/>
        </w:rPr>
        <w:t>、规范项目实施管理</w:t>
      </w:r>
    </w:p>
    <w:p>
      <w:pPr>
        <w:spacing w:line="341" w:lineRule="auto"/>
        <w:ind w:firstLine="640"/>
        <w:rPr>
          <w:rFonts w:ascii="仿宋_GB2312" w:eastAsia="仿宋_GB2312" w:cs="仿宋_GB2312"/>
          <w:color w:val="auto"/>
          <w:w w:val="98"/>
          <w:szCs w:val="32"/>
        </w:rPr>
      </w:pPr>
      <w:r>
        <w:rPr>
          <w:rFonts w:hint="eastAsia" w:ascii="楷体_GB2312" w:eastAsia="楷体_GB2312" w:cs="仿宋_GB2312"/>
          <w:color w:val="auto"/>
          <w:w w:val="98"/>
          <w:szCs w:val="32"/>
        </w:rPr>
        <w:t>（十）全面实施土地清查</w:t>
      </w:r>
      <w:r>
        <w:rPr>
          <w:rFonts w:ascii="楷体_GB2312" w:eastAsia="楷体_GB2312" w:cs="仿宋_GB2312"/>
          <w:color w:val="auto"/>
          <w:w w:val="98"/>
          <w:szCs w:val="32"/>
        </w:rPr>
        <w:t>。</w:t>
      </w:r>
      <w:r>
        <w:rPr>
          <w:rFonts w:hint="eastAsia" w:ascii="仿宋_GB2312" w:eastAsia="仿宋_GB2312" w:cs="仿宋_GB2312"/>
          <w:color w:val="auto"/>
          <w:szCs w:val="32"/>
        </w:rPr>
        <w:t>市县政府加强对农村集体资源管理的指导监督，组织开展土地清查，在全面摸清耕地后备资源底数基础上，理清土地所有权和经营权，并依法依规流转土地经营权。投资主体开发利用耕地后备资源，须取得整治地块土地经营权。</w:t>
      </w:r>
      <w:r>
        <w:rPr>
          <w:rFonts w:hint="eastAsia" w:ascii="楷体_GB2312" w:eastAsia="楷体_GB2312" w:cs="方正楷体_GBK"/>
          <w:color w:val="auto"/>
          <w:w w:val="98"/>
          <w:szCs w:val="32"/>
        </w:rPr>
        <w:t>（市、县人民政府）</w:t>
      </w:r>
    </w:p>
    <w:p>
      <w:pPr>
        <w:spacing w:line="341" w:lineRule="auto"/>
        <w:ind w:firstLine="640"/>
        <w:rPr>
          <w:rFonts w:ascii="仿宋_GB2312" w:eastAsia="仿宋_GB2312" w:cs="仿宋_GB2312"/>
          <w:color w:val="auto"/>
          <w:w w:val="98"/>
          <w:szCs w:val="32"/>
        </w:rPr>
      </w:pPr>
      <w:r>
        <w:rPr>
          <w:rFonts w:hint="eastAsia" w:ascii="楷体_GB2312" w:eastAsia="楷体_GB2312" w:cs="仿宋_GB2312"/>
          <w:color w:val="auto"/>
          <w:w w:val="98"/>
          <w:szCs w:val="32"/>
        </w:rPr>
        <w:t>（十一）建立新增耕地项目储备库</w:t>
      </w:r>
      <w:r>
        <w:rPr>
          <w:rFonts w:ascii="楷体_GB2312" w:eastAsia="楷体_GB2312" w:cs="仿宋_GB2312"/>
          <w:color w:val="auto"/>
          <w:w w:val="98"/>
          <w:szCs w:val="32"/>
        </w:rPr>
        <w:t>。</w:t>
      </w:r>
      <w:r>
        <w:rPr>
          <w:rFonts w:hint="eastAsia" w:ascii="仿宋_GB2312" w:eastAsia="仿宋_GB2312" w:cs="仿宋_GB2312"/>
          <w:color w:val="auto"/>
          <w:w w:val="98"/>
          <w:szCs w:val="32"/>
        </w:rPr>
        <w:t>市县政府根据本行政区域盐碱地等耕地后备资源状况，结合水资源匹配情况，</w:t>
      </w:r>
      <w:r>
        <w:rPr>
          <w:rFonts w:hint="eastAsia" w:ascii="仿宋_GB2312" w:eastAsia="仿宋_GB2312" w:cs="仿宋_GB2312"/>
          <w:color w:val="auto"/>
          <w:szCs w:val="32"/>
        </w:rPr>
        <w:t>因地制宜，科学合理确定土地整治项目区域，建立项目储备库</w:t>
      </w:r>
      <w:r>
        <w:rPr>
          <w:rFonts w:ascii="仿宋_GB2312" w:eastAsia="仿宋_GB2312" w:cs="仿宋_GB2312"/>
          <w:color w:val="auto"/>
          <w:szCs w:val="32"/>
        </w:rPr>
        <w:t>。开展</w:t>
      </w:r>
      <w:r>
        <w:rPr>
          <w:rFonts w:hint="eastAsia" w:ascii="仿宋_GB2312" w:eastAsia="仿宋_GB2312" w:cs="仿宋_GB2312"/>
          <w:color w:val="auto"/>
          <w:szCs w:val="32"/>
        </w:rPr>
        <w:t>盐碱地等耕地后备资源综合利用须从</w:t>
      </w:r>
      <w:r>
        <w:rPr>
          <w:rFonts w:ascii="仿宋_GB2312" w:eastAsia="仿宋_GB2312" w:cs="仿宋_GB2312"/>
          <w:color w:val="auto"/>
          <w:szCs w:val="32"/>
        </w:rPr>
        <w:t>项目</w:t>
      </w:r>
      <w:r>
        <w:rPr>
          <w:rFonts w:hint="eastAsia" w:ascii="仿宋_GB2312" w:eastAsia="仿宋_GB2312" w:cs="仿宋_GB2312"/>
          <w:color w:val="auto"/>
          <w:szCs w:val="32"/>
        </w:rPr>
        <w:t>储备库中选取。</w:t>
      </w:r>
      <w:r>
        <w:rPr>
          <w:rFonts w:hint="eastAsia" w:ascii="楷体_GB2312" w:eastAsia="楷体_GB2312" w:cs="方正楷体_GBK"/>
          <w:color w:val="auto"/>
          <w:w w:val="98"/>
          <w:szCs w:val="32"/>
        </w:rPr>
        <w:t>（市、县人民政府）</w:t>
      </w:r>
    </w:p>
    <w:p>
      <w:pPr>
        <w:spacing w:line="341" w:lineRule="auto"/>
        <w:ind w:firstLine="640"/>
        <w:rPr>
          <w:rFonts w:ascii="仿宋_GB2312" w:eastAsia="仿宋_GB2312" w:cs="仿宋_GB2312"/>
          <w:color w:val="auto"/>
          <w:w w:val="98"/>
        </w:rPr>
      </w:pPr>
      <w:r>
        <w:rPr>
          <w:rFonts w:hint="eastAsia" w:ascii="楷体_GB2312" w:eastAsia="楷体_GB2312" w:cs="仿宋_GB2312"/>
          <w:color w:val="auto"/>
          <w:w w:val="98"/>
          <w:szCs w:val="32"/>
        </w:rPr>
        <w:t>（十二）严格</w:t>
      </w:r>
      <w:r>
        <w:rPr>
          <w:rFonts w:ascii="楷体_GB2312" w:eastAsia="楷体_GB2312" w:cs="仿宋_GB2312"/>
          <w:color w:val="auto"/>
          <w:w w:val="98"/>
          <w:szCs w:val="32"/>
        </w:rPr>
        <w:t>项目立项审查。</w:t>
      </w:r>
      <w:r>
        <w:rPr>
          <w:rFonts w:hint="eastAsia" w:ascii="仿宋_GB2312" w:eastAsia="仿宋_GB2312"/>
          <w:color w:val="auto"/>
          <w:w w:val="98"/>
        </w:rPr>
        <w:t>市县政府组织专家，对拟实施新增耕地项目的可行性进行充分论证</w:t>
      </w:r>
      <w:r>
        <w:rPr>
          <w:rFonts w:ascii="仿宋_GB2312" w:eastAsia="仿宋_GB2312"/>
          <w:color w:val="auto"/>
          <w:w w:val="98"/>
        </w:rPr>
        <w:t>，规范履行立项报批程序。</w:t>
      </w:r>
      <w:r>
        <w:rPr>
          <w:rFonts w:hint="eastAsia" w:ascii="仿宋_GB2312" w:eastAsia="仿宋_GB2312"/>
          <w:color w:val="auto"/>
          <w:w w:val="98"/>
        </w:rPr>
        <w:t>同时，进一步核实项目区土地权属情况和利用状况，确保地块界址清楚、权属合法、地类和面积准确，相关补偿方案等无争议，为施工创造条件。</w:t>
      </w:r>
      <w:r>
        <w:rPr>
          <w:rFonts w:hint="eastAsia" w:ascii="楷体_GB2312" w:eastAsia="楷体_GB2312" w:cs="方正楷体_GBK"/>
          <w:color w:val="auto"/>
          <w:w w:val="98"/>
        </w:rPr>
        <w:t>（市、县人民政府）</w:t>
      </w:r>
    </w:p>
    <w:p>
      <w:pPr>
        <w:spacing w:line="341" w:lineRule="auto"/>
        <w:ind w:firstLine="626" w:firstLineChars="200"/>
        <w:rPr>
          <w:rFonts w:ascii="仿宋_GB2312" w:eastAsia="仿宋_GB2312" w:cs="仿宋_GB2312"/>
          <w:color w:val="auto"/>
          <w:w w:val="98"/>
        </w:rPr>
      </w:pPr>
      <w:r>
        <w:rPr>
          <w:rFonts w:hint="eastAsia" w:ascii="楷体_GB2312" w:eastAsia="楷体_GB2312" w:cs="仿宋_GB2312"/>
          <w:color w:val="auto"/>
          <w:w w:val="98"/>
          <w:szCs w:val="32"/>
        </w:rPr>
        <w:t>（十三）规范工程建设</w:t>
      </w:r>
      <w:r>
        <w:rPr>
          <w:rFonts w:ascii="楷体_GB2312" w:eastAsia="楷体_GB2312" w:cs="仿宋_GB2312"/>
          <w:color w:val="auto"/>
          <w:w w:val="98"/>
          <w:szCs w:val="32"/>
        </w:rPr>
        <w:t>。</w:t>
      </w:r>
      <w:r>
        <w:rPr>
          <w:rFonts w:hint="eastAsia" w:ascii="仿宋_GB2312" w:eastAsia="仿宋_GB2312"/>
          <w:color w:val="auto"/>
          <w:w w:val="98"/>
        </w:rPr>
        <w:t>项目施工要严格按照设计开展，确保工程质量。</w:t>
      </w:r>
      <w:r>
        <w:rPr>
          <w:rFonts w:hint="eastAsia" w:ascii="仿宋_GB2312" w:eastAsia="仿宋_GB2312" w:cs="仿宋_GB2312"/>
          <w:color w:val="auto"/>
        </w:rPr>
        <w:t>项目建设要综合配套各项农业生产设施，因地制宜实施田水路林村综合整治，确保治一片、成一片、见效一片，项目新增耕地应达到高标准农田建设标准。</w:t>
      </w:r>
      <w:r>
        <w:rPr>
          <w:rFonts w:hint="eastAsia" w:ascii="楷体_GB2312" w:eastAsia="楷体_GB2312" w:cs="方正楷体_GBK"/>
          <w:color w:val="auto"/>
          <w:w w:val="98"/>
        </w:rPr>
        <w:t>（市、县人民政府）</w:t>
      </w:r>
    </w:p>
    <w:p>
      <w:pPr>
        <w:spacing w:line="341" w:lineRule="auto"/>
        <w:ind w:firstLine="626" w:firstLineChars="200"/>
        <w:rPr>
          <w:rFonts w:ascii="仿宋_GB2312" w:eastAsia="仿宋_GB2312" w:cs="仿宋_GB2312"/>
          <w:color w:val="auto"/>
          <w:w w:val="98"/>
          <w:szCs w:val="32"/>
        </w:rPr>
      </w:pPr>
      <w:r>
        <w:rPr>
          <w:rFonts w:hint="eastAsia" w:ascii="楷体_GB2312" w:eastAsia="楷体_GB2312" w:cs="仿宋_GB2312"/>
          <w:color w:val="auto"/>
          <w:w w:val="98"/>
          <w:szCs w:val="32"/>
        </w:rPr>
        <w:t>（十四）严格竣工验收</w:t>
      </w:r>
      <w:r>
        <w:rPr>
          <w:rFonts w:ascii="楷体_GB2312" w:eastAsia="楷体_GB2312" w:cs="仿宋_GB2312"/>
          <w:color w:val="auto"/>
          <w:w w:val="98"/>
          <w:szCs w:val="32"/>
        </w:rPr>
        <w:t>。</w:t>
      </w:r>
      <w:r>
        <w:rPr>
          <w:rFonts w:hint="eastAsia" w:ascii="仿宋_GB2312" w:eastAsia="仿宋_GB2312"/>
          <w:color w:val="auto"/>
          <w:w w:val="98"/>
        </w:rPr>
        <w:t>项目工程施工结束后，市县政府组织相关领域专家，会同自然资源、农业农村、水利、生态环境、林草等部门，做好项目竣工验收，</w:t>
      </w:r>
      <w:r>
        <w:rPr>
          <w:rFonts w:hint="eastAsia" w:ascii="仿宋_GB2312" w:eastAsia="仿宋_GB2312" w:cs="仿宋_GB2312"/>
          <w:color w:val="auto"/>
          <w:w w:val="98"/>
          <w:szCs w:val="32"/>
        </w:rPr>
        <w:t>对项目工程质量进行严格把关，确保施工单位保质保量完成工程建设</w:t>
      </w:r>
      <w:r>
        <w:rPr>
          <w:rFonts w:hint="eastAsia" w:ascii="仿宋_GB2312" w:eastAsia="仿宋_GB2312"/>
          <w:color w:val="auto"/>
          <w:w w:val="98"/>
        </w:rPr>
        <w:t>。</w:t>
      </w:r>
      <w:r>
        <w:rPr>
          <w:rFonts w:ascii="仿宋_GB2312" w:eastAsia="仿宋_GB2312"/>
          <w:color w:val="auto"/>
          <w:w w:val="98"/>
        </w:rPr>
        <w:t>省自然资源厅要</w:t>
      </w:r>
      <w:r>
        <w:rPr>
          <w:rFonts w:hint="eastAsia" w:ascii="仿宋_GB2312" w:eastAsia="仿宋_GB2312" w:cs="仿宋_GB2312"/>
          <w:color w:val="auto"/>
          <w:w w:val="98"/>
          <w:szCs w:val="32"/>
        </w:rPr>
        <w:t>严格核定新增耕地，确保新增耕地数量、质量真实可靠。</w:t>
      </w:r>
      <w:r>
        <w:rPr>
          <w:rFonts w:hint="eastAsia" w:ascii="楷体_GB2312" w:eastAsia="楷体_GB2312" w:cs="方正楷体_GBK"/>
          <w:color w:val="auto"/>
          <w:w w:val="98"/>
          <w:szCs w:val="32"/>
        </w:rPr>
        <w:t>（市、县人民政府、省自然资源厅</w:t>
      </w:r>
      <w:r>
        <w:rPr>
          <w:rFonts w:hint="eastAsia" w:ascii="楷体_GB2312" w:eastAsia="楷体_GB2312" w:cs="方正楷体_GBK"/>
          <w:color w:val="auto"/>
          <w:w w:val="98"/>
          <w:szCs w:val="32"/>
          <w:lang w:eastAsia="zh-CN"/>
        </w:rPr>
        <w:t>按职责分工分别负责</w:t>
      </w:r>
      <w:r>
        <w:rPr>
          <w:rFonts w:hint="eastAsia" w:ascii="楷体_GB2312" w:eastAsia="楷体_GB2312" w:cs="方正楷体_GBK"/>
          <w:color w:val="auto"/>
          <w:w w:val="98"/>
          <w:szCs w:val="32"/>
        </w:rPr>
        <w:t>）</w:t>
      </w:r>
    </w:p>
    <w:p>
      <w:pPr>
        <w:spacing w:line="341" w:lineRule="auto"/>
        <w:ind w:firstLine="626" w:firstLineChars="200"/>
        <w:rPr>
          <w:rFonts w:ascii="黑体" w:eastAsia="黑体" w:cs="黑体"/>
          <w:bCs/>
          <w:color w:val="auto"/>
          <w:w w:val="98"/>
          <w:szCs w:val="32"/>
        </w:rPr>
      </w:pPr>
      <w:r>
        <w:rPr>
          <w:rFonts w:ascii="黑体" w:eastAsia="黑体" w:cs="黑体"/>
          <w:color w:val="auto"/>
          <w:w w:val="98"/>
          <w:szCs w:val="32"/>
        </w:rPr>
        <w:t>五</w:t>
      </w:r>
      <w:r>
        <w:rPr>
          <w:rFonts w:hint="eastAsia" w:ascii="黑体" w:eastAsia="黑体" w:cs="黑体"/>
          <w:color w:val="auto"/>
          <w:w w:val="98"/>
          <w:szCs w:val="32"/>
        </w:rPr>
        <w:t>、加快骨干水利工程建设</w:t>
      </w:r>
    </w:p>
    <w:p>
      <w:pPr>
        <w:spacing w:line="341" w:lineRule="auto"/>
        <w:ind w:firstLine="626" w:firstLineChars="200"/>
        <w:rPr>
          <w:rFonts w:ascii="楷体_GB2312" w:eastAsia="楷体_GB2312" w:cs="方正楷体_GBK"/>
          <w:color w:val="auto"/>
          <w:w w:val="98"/>
          <w:szCs w:val="32"/>
        </w:rPr>
      </w:pPr>
      <w:r>
        <w:rPr>
          <w:rFonts w:hint="eastAsia" w:ascii="楷体_GB2312" w:eastAsia="楷体_GB2312" w:cs="仿宋_GB2312"/>
          <w:color w:val="auto"/>
          <w:w w:val="98"/>
          <w:szCs w:val="32"/>
        </w:rPr>
        <w:t>（十五）完善水资源匹配格局</w:t>
      </w:r>
      <w:r>
        <w:rPr>
          <w:rFonts w:ascii="楷体_GB2312" w:eastAsia="楷体_GB2312" w:cs="仿宋_GB2312"/>
          <w:color w:val="auto"/>
          <w:w w:val="98"/>
          <w:szCs w:val="32"/>
        </w:rPr>
        <w:t>。</w:t>
      </w:r>
      <w:r>
        <w:rPr>
          <w:rFonts w:hint="eastAsia" w:ascii="仿宋_GB2312" w:eastAsia="仿宋_GB2312" w:cs="仿宋_GB2312"/>
          <w:color w:val="auto"/>
          <w:w w:val="98"/>
          <w:szCs w:val="32"/>
        </w:rPr>
        <w:t>结合全省盐碱地等耕地后备资源分布情况，加快推进中西部供水、引嫩入白扩建、大安灌区二期、松原灌区等骨干水利工程建设进度，持续完善干支渠（沟）输水排水体系，进一步优化水土匹配格局，完善水资源配置网络体系，不断提升盐碱地等耕地后备资源综合利用水资源支撑和保障能力。</w:t>
      </w:r>
      <w:r>
        <w:rPr>
          <w:rFonts w:hint="eastAsia" w:ascii="楷体_GB2312" w:eastAsia="楷体_GB2312" w:cs="方正楷体_GBK"/>
          <w:color w:val="auto"/>
          <w:w w:val="98"/>
          <w:szCs w:val="32"/>
        </w:rPr>
        <w:t>（</w:t>
      </w:r>
      <w:r>
        <w:rPr>
          <w:rFonts w:hint="eastAsia" w:ascii="楷体_GB2312" w:eastAsia="楷体_GB2312" w:cs="方正楷体_GBK"/>
          <w:color w:val="auto"/>
          <w:w w:val="98"/>
          <w:szCs w:val="32"/>
          <w:lang w:eastAsia="zh-CN"/>
        </w:rPr>
        <w:t>市、县人民政府，</w:t>
      </w:r>
      <w:r>
        <w:rPr>
          <w:rFonts w:hint="eastAsia" w:ascii="楷体_GB2312" w:eastAsia="楷体_GB2312" w:cs="方正楷体_GBK"/>
          <w:color w:val="auto"/>
          <w:w w:val="98"/>
          <w:szCs w:val="32"/>
        </w:rPr>
        <w:t>省水利厅</w:t>
      </w:r>
      <w:r>
        <w:rPr>
          <w:rFonts w:hint="eastAsia" w:ascii="楷体_GB2312" w:eastAsia="楷体_GB2312" w:cs="方正楷体_GBK"/>
          <w:color w:val="auto"/>
          <w:w w:val="98"/>
          <w:szCs w:val="32"/>
          <w:lang w:eastAsia="zh-CN"/>
        </w:rPr>
        <w:t>按职责分工分别负责</w:t>
      </w:r>
      <w:r>
        <w:rPr>
          <w:rFonts w:hint="eastAsia" w:ascii="楷体_GB2312" w:eastAsia="楷体_GB2312" w:cs="方正楷体_GBK"/>
          <w:color w:val="auto"/>
          <w:w w:val="98"/>
          <w:szCs w:val="32"/>
        </w:rPr>
        <w:t>）</w:t>
      </w:r>
    </w:p>
    <w:p>
      <w:pPr>
        <w:spacing w:line="341" w:lineRule="auto"/>
        <w:ind w:firstLine="626" w:firstLineChars="200"/>
        <w:rPr>
          <w:rFonts w:ascii="方正楷体_GBK" w:eastAsia="方正楷体_GBK" w:cs="方正楷体_GBK"/>
          <w:color w:val="auto"/>
          <w:w w:val="98"/>
          <w:szCs w:val="32"/>
        </w:rPr>
      </w:pPr>
      <w:r>
        <w:rPr>
          <w:rFonts w:hint="eastAsia" w:ascii="楷体_GB2312" w:eastAsia="楷体_GB2312" w:cs="仿宋_GB2312"/>
          <w:color w:val="auto"/>
          <w:w w:val="98"/>
          <w:szCs w:val="32"/>
        </w:rPr>
        <w:t>（十六）落实水资源管理制度</w:t>
      </w:r>
      <w:r>
        <w:rPr>
          <w:rFonts w:ascii="楷体_GB2312" w:eastAsia="楷体_GB2312" w:cs="仿宋_GB2312"/>
          <w:color w:val="auto"/>
          <w:w w:val="98"/>
          <w:szCs w:val="32"/>
        </w:rPr>
        <w:t>。</w:t>
      </w:r>
      <w:r>
        <w:rPr>
          <w:rFonts w:hint="eastAsia" w:ascii="仿宋" w:cs="仿宋"/>
          <w:color w:val="auto"/>
          <w:szCs w:val="32"/>
        </w:rPr>
        <w:t>遵循“先节水后调水、先治污后通水、先环保后用水”的原则，执行最严格水资源管理制度，统筹考虑水利工程引水与节水、污水治理和生态安全的关系，确保水资源得到合理有效利用。</w:t>
      </w:r>
      <w:r>
        <w:rPr>
          <w:rFonts w:hint="eastAsia" w:ascii="楷体_GB2312" w:eastAsia="楷体_GB2312" w:cs="方正楷体_GBK"/>
          <w:color w:val="auto"/>
          <w:w w:val="98"/>
          <w:szCs w:val="32"/>
        </w:rPr>
        <w:t>（省水利厅、省农业农村厅</w:t>
      </w:r>
      <w:r>
        <w:rPr>
          <w:rFonts w:hint="eastAsia" w:ascii="楷体_GB2312" w:eastAsia="楷体_GB2312" w:cs="方正楷体_GBK"/>
          <w:color w:val="auto"/>
          <w:w w:val="98"/>
          <w:szCs w:val="32"/>
          <w:lang w:eastAsia="zh-CN"/>
        </w:rPr>
        <w:t>按职责分工分别负责</w:t>
      </w:r>
      <w:r>
        <w:rPr>
          <w:rFonts w:hint="eastAsia" w:ascii="楷体_GB2312" w:eastAsia="楷体_GB2312" w:cs="方正楷体_GBK"/>
          <w:color w:val="auto"/>
          <w:w w:val="98"/>
          <w:szCs w:val="32"/>
        </w:rPr>
        <w:t>）</w:t>
      </w:r>
    </w:p>
    <w:p>
      <w:pPr>
        <w:spacing w:line="341" w:lineRule="auto"/>
        <w:ind w:firstLine="626" w:firstLineChars="200"/>
        <w:rPr>
          <w:rFonts w:ascii="黑体" w:eastAsia="黑体" w:cs="黑体"/>
          <w:color w:val="auto"/>
          <w:w w:val="98"/>
          <w:szCs w:val="32"/>
        </w:rPr>
      </w:pPr>
      <w:r>
        <w:rPr>
          <w:rFonts w:ascii="黑体" w:eastAsia="黑体" w:cs="黑体"/>
          <w:color w:val="auto"/>
          <w:w w:val="98"/>
          <w:szCs w:val="32"/>
        </w:rPr>
        <w:t>六</w:t>
      </w:r>
      <w:r>
        <w:rPr>
          <w:rFonts w:hint="eastAsia" w:ascii="黑体" w:eastAsia="黑体" w:cs="黑体"/>
          <w:color w:val="auto"/>
          <w:w w:val="98"/>
          <w:szCs w:val="32"/>
        </w:rPr>
        <w:t>、加快</w:t>
      </w:r>
      <w:r>
        <w:rPr>
          <w:rFonts w:ascii="黑体" w:eastAsia="黑体" w:cs="黑体"/>
          <w:color w:val="auto"/>
          <w:w w:val="98"/>
          <w:szCs w:val="32"/>
        </w:rPr>
        <w:t>总结推广盐碱地改良技术</w:t>
      </w:r>
    </w:p>
    <w:p>
      <w:pPr>
        <w:ind w:firstLine="626" w:firstLineChars="200"/>
        <w:rPr>
          <w:rFonts w:ascii="楷体_GB2312" w:eastAsia="楷体_GB2312" w:cs="方正楷体_GBK"/>
          <w:color w:val="auto"/>
          <w:w w:val="98"/>
          <w:szCs w:val="32"/>
        </w:rPr>
      </w:pPr>
      <w:r>
        <w:rPr>
          <w:rFonts w:hint="eastAsia" w:ascii="楷体_GB2312" w:eastAsia="楷体_GB2312" w:cs="方正楷体_GBK"/>
          <w:color w:val="auto"/>
          <w:w w:val="98"/>
          <w:szCs w:val="32"/>
        </w:rPr>
        <w:t>（十七）鼓励技术研究和创新</w:t>
      </w:r>
      <w:r>
        <w:rPr>
          <w:rFonts w:ascii="楷体_GB2312" w:eastAsia="楷体_GB2312" w:cs="方正楷体_GBK"/>
          <w:color w:val="auto"/>
          <w:w w:val="98"/>
          <w:szCs w:val="32"/>
        </w:rPr>
        <w:t>。</w:t>
      </w:r>
      <w:r>
        <w:rPr>
          <w:rFonts w:hint="eastAsia" w:ascii="仿宋_GB2312" w:eastAsia="仿宋_GB2312" w:cs="仿宋_GB2312"/>
          <w:color w:val="auto"/>
          <w:w w:val="98"/>
          <w:szCs w:val="32"/>
        </w:rPr>
        <w:t>鼓励并组织有关科研机构开展相关技术研究和创新，加强盐碱地改良、节水灌溉、生态保护与修复、保护性耕作等技术攻关，制定</w:t>
      </w:r>
      <w:r>
        <w:rPr>
          <w:rFonts w:ascii="仿宋_GB2312" w:eastAsia="仿宋_GB2312" w:cs="仿宋_GB2312"/>
          <w:color w:val="auto"/>
          <w:w w:val="98"/>
          <w:szCs w:val="32"/>
        </w:rPr>
        <w:t>盐碱地综合利用</w:t>
      </w:r>
      <w:r>
        <w:rPr>
          <w:rFonts w:hint="eastAsia" w:ascii="仿宋_GB2312" w:eastAsia="仿宋_GB2312" w:cs="仿宋_GB2312"/>
          <w:color w:val="auto"/>
          <w:w w:val="98"/>
          <w:szCs w:val="32"/>
        </w:rPr>
        <w:t>相关技术标准。</w:t>
      </w:r>
      <w:r>
        <w:rPr>
          <w:rFonts w:hint="eastAsia" w:ascii="楷体_GB2312" w:eastAsia="楷体_GB2312" w:cs="方正楷体_GBK"/>
          <w:color w:val="auto"/>
          <w:w w:val="98"/>
          <w:szCs w:val="32"/>
        </w:rPr>
        <w:t>（</w:t>
      </w:r>
      <w:r>
        <w:rPr>
          <w:rFonts w:hint="eastAsia" w:ascii="楷体_GB2312" w:eastAsia="楷体_GB2312" w:cs="方正楷体_GBK"/>
          <w:color w:val="auto"/>
          <w:w w:val="98"/>
          <w:szCs w:val="32"/>
          <w:lang w:eastAsia="zh-CN"/>
        </w:rPr>
        <w:t>省科技厅、</w:t>
      </w:r>
      <w:r>
        <w:rPr>
          <w:rFonts w:hint="eastAsia" w:ascii="楷体_GB2312" w:eastAsia="楷体_GB2312" w:cs="方正楷体_GBK"/>
          <w:color w:val="auto"/>
          <w:w w:val="98"/>
          <w:szCs w:val="32"/>
        </w:rPr>
        <w:t>省农业农村厅、省自然资源厅</w:t>
      </w:r>
      <w:r>
        <w:rPr>
          <w:rFonts w:hint="eastAsia" w:ascii="楷体_GB2312" w:eastAsia="楷体_GB2312" w:cs="方正楷体_GBK"/>
          <w:color w:val="auto"/>
          <w:w w:val="98"/>
          <w:szCs w:val="32"/>
          <w:lang w:eastAsia="zh-CN"/>
        </w:rPr>
        <w:t>、省市场监督管理厅按职责分工分别负责</w:t>
      </w:r>
      <w:r>
        <w:rPr>
          <w:rFonts w:hint="eastAsia" w:ascii="楷体_GB2312" w:eastAsia="楷体_GB2312" w:cs="方正楷体_GBK"/>
          <w:color w:val="auto"/>
          <w:w w:val="98"/>
          <w:szCs w:val="32"/>
        </w:rPr>
        <w:t>）</w:t>
      </w:r>
    </w:p>
    <w:p>
      <w:pPr>
        <w:ind w:firstLine="626" w:firstLineChars="200"/>
        <w:rPr>
          <w:rFonts w:ascii="楷体_GB2312" w:eastAsia="楷体_GB2312" w:cs="方正楷体_GBK"/>
          <w:color w:val="auto"/>
          <w:w w:val="98"/>
          <w:szCs w:val="32"/>
        </w:rPr>
      </w:pPr>
      <w:r>
        <w:rPr>
          <w:rFonts w:hint="eastAsia" w:ascii="楷体_GB2312" w:eastAsia="楷体_GB2312" w:cs="方正楷体_GBK"/>
          <w:color w:val="auto"/>
          <w:w w:val="98"/>
          <w:szCs w:val="32"/>
        </w:rPr>
        <w:t>（十八）评价推广成熟技术</w:t>
      </w:r>
      <w:r>
        <w:rPr>
          <w:rFonts w:ascii="楷体_GB2312" w:eastAsia="楷体_GB2312" w:cs="方正楷体_GBK"/>
          <w:color w:val="auto"/>
          <w:w w:val="98"/>
          <w:szCs w:val="32"/>
        </w:rPr>
        <w:t>。</w:t>
      </w:r>
      <w:r>
        <w:rPr>
          <w:rFonts w:hint="eastAsia" w:ascii="仿宋_GB2312" w:eastAsia="仿宋_GB2312" w:cs="仿宋_GB2312"/>
          <w:color w:val="auto"/>
          <w:w w:val="98"/>
          <w:szCs w:val="32"/>
        </w:rPr>
        <w:t>建立盐碱地改良实验基地和盐碱地研究院，总结评价盐碱地综合利用</w:t>
      </w:r>
      <w:r>
        <w:rPr>
          <w:rFonts w:ascii="仿宋_GB2312" w:eastAsia="仿宋_GB2312" w:cs="仿宋_GB2312"/>
          <w:color w:val="auto"/>
          <w:w w:val="98"/>
          <w:szCs w:val="32"/>
        </w:rPr>
        <w:t>相关</w:t>
      </w:r>
      <w:r>
        <w:rPr>
          <w:rFonts w:hint="eastAsia" w:ascii="仿宋_GB2312" w:eastAsia="仿宋_GB2312" w:cs="仿宋_GB2312"/>
          <w:color w:val="auto"/>
          <w:w w:val="98"/>
          <w:szCs w:val="32"/>
        </w:rPr>
        <w:t>技术</w:t>
      </w:r>
      <w:r>
        <w:rPr>
          <w:rFonts w:ascii="仿宋_GB2312" w:eastAsia="仿宋_GB2312" w:cs="仿宋_GB2312"/>
          <w:color w:val="auto"/>
          <w:w w:val="98"/>
          <w:szCs w:val="32"/>
        </w:rPr>
        <w:t>的</w:t>
      </w:r>
      <w:r>
        <w:rPr>
          <w:rFonts w:hint="eastAsia" w:ascii="仿宋_GB2312" w:eastAsia="仿宋_GB2312" w:cs="仿宋_GB2312"/>
          <w:color w:val="auto"/>
          <w:w w:val="98"/>
          <w:szCs w:val="32"/>
        </w:rPr>
        <w:t>成熟度，形成符合我省实际的技术体系，对较为成熟的技术加大推广力度，为盐碱地等耕地后备资源综合利用提供技术支撑。</w:t>
      </w:r>
      <w:r>
        <w:rPr>
          <w:rFonts w:hint="eastAsia" w:ascii="楷体_GB2312" w:eastAsia="楷体_GB2312" w:cs="方正楷体_GBK"/>
          <w:color w:val="auto"/>
          <w:w w:val="98"/>
          <w:szCs w:val="32"/>
        </w:rPr>
        <w:t>（省农业农村厅、省自然资源厅</w:t>
      </w:r>
      <w:r>
        <w:rPr>
          <w:rFonts w:hint="eastAsia" w:ascii="楷体_GB2312" w:eastAsia="楷体_GB2312" w:cs="方正楷体_GBK"/>
          <w:color w:val="auto"/>
          <w:w w:val="98"/>
          <w:szCs w:val="32"/>
          <w:lang w:eastAsia="zh-CN"/>
        </w:rPr>
        <w:t>按职责分工分别负责</w:t>
      </w:r>
      <w:r>
        <w:rPr>
          <w:rFonts w:hint="eastAsia" w:ascii="楷体_GB2312" w:eastAsia="楷体_GB2312" w:cs="方正楷体_GBK"/>
          <w:color w:val="auto"/>
          <w:w w:val="98"/>
          <w:szCs w:val="32"/>
        </w:rPr>
        <w:t>）</w:t>
      </w:r>
    </w:p>
    <w:p>
      <w:pPr>
        <w:spacing w:line="341" w:lineRule="auto"/>
        <w:ind w:firstLine="626" w:firstLineChars="200"/>
        <w:rPr>
          <w:rFonts w:ascii="黑体" w:eastAsia="黑体" w:cs="黑体"/>
          <w:bCs/>
          <w:color w:val="auto"/>
          <w:w w:val="98"/>
          <w:szCs w:val="32"/>
        </w:rPr>
      </w:pPr>
      <w:r>
        <w:rPr>
          <w:rFonts w:ascii="黑体" w:eastAsia="黑体" w:cs="黑体"/>
          <w:color w:val="auto"/>
          <w:w w:val="98"/>
          <w:szCs w:val="32"/>
        </w:rPr>
        <w:t>七</w:t>
      </w:r>
      <w:r>
        <w:rPr>
          <w:rFonts w:hint="eastAsia" w:ascii="黑体" w:eastAsia="黑体" w:cs="黑体"/>
          <w:color w:val="auto"/>
          <w:w w:val="98"/>
          <w:szCs w:val="32"/>
        </w:rPr>
        <w:t>、</w:t>
      </w:r>
      <w:r>
        <w:rPr>
          <w:rFonts w:ascii="黑体" w:eastAsia="黑体" w:cs="黑体"/>
          <w:color w:val="auto"/>
          <w:w w:val="98"/>
          <w:szCs w:val="32"/>
        </w:rPr>
        <w:t>搞好</w:t>
      </w:r>
      <w:r>
        <w:rPr>
          <w:rFonts w:hint="eastAsia" w:ascii="黑体" w:eastAsia="黑体" w:cs="黑体"/>
          <w:color w:val="auto"/>
          <w:w w:val="98"/>
          <w:szCs w:val="32"/>
        </w:rPr>
        <w:t>耐盐碱作物良种</w:t>
      </w:r>
      <w:r>
        <w:rPr>
          <w:rFonts w:ascii="黑体" w:eastAsia="黑体" w:cs="黑体"/>
          <w:color w:val="auto"/>
          <w:w w:val="98"/>
          <w:szCs w:val="32"/>
        </w:rPr>
        <w:t>选</w:t>
      </w:r>
      <w:r>
        <w:rPr>
          <w:rFonts w:hint="eastAsia" w:ascii="黑体" w:eastAsia="黑体" w:cs="黑体"/>
          <w:color w:val="auto"/>
          <w:w w:val="98"/>
          <w:szCs w:val="32"/>
        </w:rPr>
        <w:t>育</w:t>
      </w:r>
      <w:r>
        <w:rPr>
          <w:rFonts w:ascii="黑体" w:eastAsia="黑体" w:cs="黑体"/>
          <w:color w:val="auto"/>
          <w:w w:val="98"/>
          <w:szCs w:val="32"/>
        </w:rPr>
        <w:t>和种植技术推广</w:t>
      </w:r>
    </w:p>
    <w:p>
      <w:pPr>
        <w:adjustRightInd w:val="0"/>
        <w:snapToGrid w:val="0"/>
        <w:spacing w:line="341" w:lineRule="auto"/>
        <w:ind w:firstLine="550" w:firstLineChars="176"/>
        <w:rPr>
          <w:rFonts w:ascii="楷体_GB2312" w:eastAsia="楷体_GB2312" w:cs="方正楷体_GBK"/>
          <w:color w:val="auto"/>
          <w:w w:val="98"/>
          <w:szCs w:val="32"/>
        </w:rPr>
      </w:pPr>
      <w:r>
        <w:rPr>
          <w:rFonts w:hint="eastAsia" w:ascii="楷体_GB2312" w:eastAsia="楷体_GB2312" w:cs="方正楷体_GBK"/>
          <w:color w:val="auto"/>
          <w:w w:val="98"/>
          <w:szCs w:val="32"/>
        </w:rPr>
        <w:t>（十九）构建耐盐碱作物</w:t>
      </w:r>
      <w:r>
        <w:rPr>
          <w:rFonts w:ascii="楷体_GB2312" w:eastAsia="楷体_GB2312" w:cs="方正楷体_GBK"/>
          <w:color w:val="auto"/>
          <w:w w:val="98"/>
          <w:szCs w:val="32"/>
        </w:rPr>
        <w:t>种业</w:t>
      </w:r>
      <w:r>
        <w:rPr>
          <w:rFonts w:hint="eastAsia" w:ascii="楷体_GB2312" w:eastAsia="楷体_GB2312" w:cs="方正楷体_GBK"/>
          <w:color w:val="auto"/>
          <w:w w:val="98"/>
          <w:szCs w:val="32"/>
        </w:rPr>
        <w:t>繁育体系</w:t>
      </w:r>
      <w:r>
        <w:rPr>
          <w:rFonts w:ascii="楷体_GB2312" w:eastAsia="楷体_GB2312" w:cs="方正楷体_GBK"/>
          <w:color w:val="auto"/>
          <w:w w:val="98"/>
          <w:szCs w:val="32"/>
        </w:rPr>
        <w:t>。</w:t>
      </w:r>
      <w:r>
        <w:rPr>
          <w:rFonts w:hint="eastAsia" w:ascii="仿宋_GB2312" w:eastAsia="仿宋_GB2312" w:cs="仿宋_GB2312"/>
          <w:color w:val="auto"/>
          <w:w w:val="98"/>
          <w:szCs w:val="32"/>
        </w:rPr>
        <w:t>加强耐盐碱作物良种繁育，加大对相关科研</w:t>
      </w:r>
      <w:r>
        <w:rPr>
          <w:rFonts w:ascii="仿宋_GB2312" w:eastAsia="仿宋_GB2312" w:cs="仿宋_GB2312"/>
          <w:color w:val="auto"/>
          <w:w w:val="98"/>
          <w:szCs w:val="32"/>
        </w:rPr>
        <w:t>机构</w:t>
      </w:r>
      <w:r>
        <w:rPr>
          <w:rFonts w:hint="eastAsia" w:ascii="仿宋_GB2312" w:eastAsia="仿宋_GB2312" w:cs="仿宋_GB2312"/>
          <w:color w:val="auto"/>
          <w:w w:val="98"/>
          <w:szCs w:val="32"/>
        </w:rPr>
        <w:t>研究良种繁育的投入力度，支持种质资源、科研人才等要素向种子繁育企业流动，对具有育种能力、市场占有率较高、经营规模较大的“育繁推一体化”种子企业予以重点支持。建立良种繁育基地，构建以产业为主导、企业为主体、基地为依托、产学研相结合、</w:t>
      </w:r>
      <w:r>
        <w:rPr>
          <w:rFonts w:hint="eastAsia" w:ascii="CESI仿宋-GB2312" w:hAnsi="CESI仿宋-GB2312" w:eastAsia="CESI仿宋-GB2312" w:cs="CESI仿宋-GB2312"/>
          <w:color w:val="auto"/>
          <w:w w:val="98"/>
          <w:szCs w:val="32"/>
        </w:rPr>
        <w:t>“育繁推一体化”</w:t>
      </w:r>
      <w:r>
        <w:rPr>
          <w:rFonts w:ascii="仿宋_GB2312" w:eastAsia="仿宋_GB2312" w:cs="仿宋_GB2312"/>
          <w:color w:val="auto"/>
          <w:w w:val="98"/>
          <w:szCs w:val="32"/>
        </w:rPr>
        <w:t>的现代</w:t>
      </w:r>
      <w:r>
        <w:rPr>
          <w:rFonts w:hint="eastAsia" w:ascii="仿宋_GB2312" w:eastAsia="仿宋_GB2312" w:cs="仿宋_GB2312"/>
          <w:color w:val="auto"/>
          <w:w w:val="98"/>
          <w:szCs w:val="32"/>
        </w:rPr>
        <w:t>耐盐碱</w:t>
      </w:r>
      <w:r>
        <w:rPr>
          <w:rFonts w:ascii="仿宋_GB2312" w:eastAsia="仿宋_GB2312" w:cs="仿宋_GB2312"/>
          <w:color w:val="auto"/>
          <w:w w:val="98"/>
          <w:szCs w:val="32"/>
        </w:rPr>
        <w:t>种业体系</w:t>
      </w:r>
      <w:r>
        <w:rPr>
          <w:rFonts w:hint="eastAsia" w:ascii="仿宋_GB2312" w:eastAsia="仿宋_GB2312" w:cs="仿宋_GB2312"/>
          <w:color w:val="auto"/>
          <w:w w:val="98"/>
          <w:szCs w:val="32"/>
        </w:rPr>
        <w:t>。</w:t>
      </w:r>
      <w:r>
        <w:rPr>
          <w:rFonts w:hint="eastAsia" w:ascii="楷体_GB2312" w:eastAsia="楷体_GB2312" w:cs="方正楷体_GBK"/>
          <w:color w:val="auto"/>
          <w:w w:val="98"/>
          <w:szCs w:val="32"/>
        </w:rPr>
        <w:t>（</w:t>
      </w:r>
      <w:r>
        <w:rPr>
          <w:rFonts w:hint="eastAsia" w:ascii="楷体_GB2312" w:eastAsia="楷体_GB2312" w:cs="方正楷体_GBK"/>
          <w:color w:val="auto"/>
          <w:w w:val="98"/>
          <w:szCs w:val="32"/>
          <w:lang w:eastAsia="zh-CN"/>
        </w:rPr>
        <w:t>市、县人民政府，</w:t>
      </w:r>
      <w:r>
        <w:rPr>
          <w:rFonts w:hint="eastAsia" w:ascii="楷体_GB2312" w:eastAsia="楷体_GB2312" w:cs="方正楷体_GBK"/>
          <w:color w:val="auto"/>
          <w:w w:val="98"/>
          <w:szCs w:val="32"/>
        </w:rPr>
        <w:t>省农业农村厅</w:t>
      </w:r>
      <w:r>
        <w:rPr>
          <w:rFonts w:hint="eastAsia" w:ascii="楷体_GB2312" w:eastAsia="楷体_GB2312" w:cs="方正楷体_GBK"/>
          <w:color w:val="auto"/>
          <w:w w:val="98"/>
          <w:szCs w:val="32"/>
          <w:lang w:eastAsia="zh-CN"/>
        </w:rPr>
        <w:t>、省科技厅按职责分工分别负责</w:t>
      </w:r>
      <w:r>
        <w:rPr>
          <w:rFonts w:hint="eastAsia" w:ascii="楷体_GB2312" w:eastAsia="楷体_GB2312" w:cs="方正楷体_GBK"/>
          <w:color w:val="auto"/>
          <w:w w:val="98"/>
          <w:szCs w:val="32"/>
        </w:rPr>
        <w:t>）</w:t>
      </w:r>
    </w:p>
    <w:p>
      <w:pPr>
        <w:adjustRightInd w:val="0"/>
        <w:snapToGrid w:val="0"/>
        <w:spacing w:line="341" w:lineRule="auto"/>
        <w:ind w:firstLine="566" w:firstLineChars="181"/>
        <w:rPr>
          <w:rFonts w:ascii="方正仿宋_GBK" w:eastAsia="方正仿宋_GBK" w:cs="黑体"/>
          <w:color w:val="auto"/>
          <w:w w:val="98"/>
          <w:szCs w:val="32"/>
        </w:rPr>
      </w:pPr>
      <w:r>
        <w:rPr>
          <w:rFonts w:hint="eastAsia" w:ascii="楷体_GB2312" w:eastAsia="楷体_GB2312" w:cs="方正楷体_GBK"/>
          <w:color w:val="auto"/>
          <w:w w:val="98"/>
          <w:szCs w:val="32"/>
        </w:rPr>
        <w:t>（二十）提高种业发展保障能力</w:t>
      </w:r>
      <w:r>
        <w:rPr>
          <w:rFonts w:ascii="楷体_GB2312" w:eastAsia="楷体_GB2312" w:cs="方正楷体_GBK"/>
          <w:color w:val="auto"/>
          <w:w w:val="98"/>
          <w:szCs w:val="32"/>
        </w:rPr>
        <w:t>。</w:t>
      </w:r>
      <w:r>
        <w:rPr>
          <w:rFonts w:hint="eastAsia" w:ascii="仿宋_GB2312" w:eastAsia="仿宋_GB2312" w:cs="仿宋_GB2312"/>
          <w:color w:val="auto"/>
          <w:w w:val="98"/>
          <w:szCs w:val="32"/>
        </w:rPr>
        <w:t>建立种质资源创新平台、生物育种研发中心、种业创新生产基地、智慧种业服务系统，着力提升种质资源保护能力、种业科研创新能力、企业竞争能力和基地保障能力。加强种业知识产权保护，抓好种业创新，依托相关科研院所，培育具有应用效果良好和自主知识产权的产量高、品种好的耐盐碱作物品种。</w:t>
      </w:r>
      <w:r>
        <w:rPr>
          <w:rFonts w:hint="eastAsia" w:ascii="楷体_GB2312" w:eastAsia="楷体_GB2312" w:cs="方正楷体_GBK"/>
          <w:color w:val="auto"/>
          <w:w w:val="98"/>
          <w:szCs w:val="32"/>
        </w:rPr>
        <w:t>（省农业农村厅、省科技厅</w:t>
      </w:r>
      <w:r>
        <w:rPr>
          <w:rFonts w:hint="eastAsia" w:ascii="楷体_GB2312" w:eastAsia="楷体_GB2312" w:cs="方正楷体_GBK"/>
          <w:color w:val="auto"/>
          <w:w w:val="98"/>
          <w:szCs w:val="32"/>
          <w:lang w:eastAsia="zh-CN"/>
        </w:rPr>
        <w:t>按职责分工分别负责</w:t>
      </w:r>
      <w:r>
        <w:rPr>
          <w:rFonts w:hint="eastAsia" w:ascii="楷体_GB2312" w:eastAsia="楷体_GB2312" w:cs="方正楷体_GBK"/>
          <w:color w:val="auto"/>
          <w:w w:val="98"/>
          <w:szCs w:val="32"/>
        </w:rPr>
        <w:t>）</w:t>
      </w:r>
    </w:p>
    <w:p>
      <w:pPr>
        <w:spacing w:line="341" w:lineRule="auto"/>
        <w:ind w:firstLine="626" w:firstLineChars="200"/>
        <w:rPr>
          <w:rFonts w:ascii="黑体" w:eastAsia="黑体" w:cs="黑体"/>
          <w:bCs/>
          <w:color w:val="auto"/>
          <w:w w:val="98"/>
          <w:szCs w:val="32"/>
        </w:rPr>
      </w:pPr>
      <w:r>
        <w:rPr>
          <w:rFonts w:ascii="黑体" w:eastAsia="黑体" w:cs="黑体"/>
          <w:color w:val="auto"/>
          <w:w w:val="98"/>
          <w:szCs w:val="32"/>
        </w:rPr>
        <w:t>八</w:t>
      </w:r>
      <w:r>
        <w:rPr>
          <w:rFonts w:hint="eastAsia" w:ascii="黑体" w:eastAsia="黑体" w:cs="黑体"/>
          <w:color w:val="auto"/>
          <w:w w:val="98"/>
          <w:szCs w:val="32"/>
        </w:rPr>
        <w:t>、有效落实生态环境管控</w:t>
      </w:r>
    </w:p>
    <w:p>
      <w:pPr>
        <w:ind w:firstLine="626" w:firstLineChars="200"/>
        <w:rPr>
          <w:rFonts w:ascii="仿宋_GB2312" w:eastAsia="仿宋_GB2312" w:cs="仿宋_GB2312"/>
          <w:color w:val="auto"/>
          <w:w w:val="98"/>
          <w:szCs w:val="32"/>
        </w:rPr>
      </w:pPr>
      <w:r>
        <w:rPr>
          <w:rFonts w:hint="eastAsia" w:ascii="楷体_GB2312" w:eastAsia="楷体_GB2312" w:cs="方正楷体_GBK"/>
          <w:color w:val="auto"/>
          <w:w w:val="98"/>
          <w:szCs w:val="32"/>
        </w:rPr>
        <w:t>（二十一）严格生态安全论证</w:t>
      </w:r>
      <w:r>
        <w:rPr>
          <w:rFonts w:ascii="楷体_GB2312" w:eastAsia="楷体_GB2312" w:cs="方正楷体_GBK"/>
          <w:color w:val="auto"/>
          <w:w w:val="98"/>
          <w:szCs w:val="32"/>
        </w:rPr>
        <w:t>。</w:t>
      </w:r>
      <w:r>
        <w:rPr>
          <w:rFonts w:hint="eastAsia" w:ascii="CESI仿宋-GB2312" w:eastAsia="CESI仿宋-GB2312" w:cs="方正楷体_GBK"/>
          <w:color w:val="auto"/>
          <w:w w:val="98"/>
          <w:szCs w:val="32"/>
        </w:rPr>
        <w:t>开展</w:t>
      </w:r>
      <w:r>
        <w:rPr>
          <w:rFonts w:hint="eastAsia" w:ascii="仿宋_GB2312" w:eastAsia="仿宋_GB2312" w:cs="仿宋_GB2312"/>
          <w:color w:val="auto"/>
          <w:w w:val="98"/>
          <w:szCs w:val="32"/>
        </w:rPr>
        <w:t>盐碱地等耕地后备资源综合利用，要对生态环境影响充分论证评估，最大限度减少对生态环境的不利影响，落实最严格的生态</w:t>
      </w:r>
      <w:r>
        <w:rPr>
          <w:rFonts w:ascii="仿宋_GB2312" w:eastAsia="仿宋_GB2312" w:cs="仿宋_GB2312"/>
          <w:color w:val="auto"/>
          <w:w w:val="98"/>
          <w:szCs w:val="32"/>
        </w:rPr>
        <w:t>环境保护</w:t>
      </w:r>
      <w:r>
        <w:rPr>
          <w:rFonts w:hint="eastAsia" w:ascii="仿宋_GB2312" w:eastAsia="仿宋_GB2312" w:cs="仿宋_GB2312"/>
          <w:color w:val="auto"/>
          <w:w w:val="98"/>
          <w:szCs w:val="32"/>
        </w:rPr>
        <w:t>制度。</w:t>
      </w:r>
      <w:r>
        <w:rPr>
          <w:rFonts w:hint="eastAsia" w:ascii="楷体_GB2312" w:eastAsia="楷体_GB2312" w:cs="方正楷体_GBK"/>
          <w:color w:val="auto"/>
          <w:w w:val="98"/>
          <w:szCs w:val="32"/>
        </w:rPr>
        <w:t>（省生态环境厅、省自然资源厅、省农业农村厅、省林草局</w:t>
      </w:r>
      <w:r>
        <w:rPr>
          <w:rFonts w:hint="eastAsia" w:ascii="楷体_GB2312" w:eastAsia="楷体_GB2312" w:cs="方正楷体_GBK"/>
          <w:color w:val="auto"/>
          <w:w w:val="98"/>
          <w:szCs w:val="32"/>
          <w:lang w:eastAsia="zh-CN"/>
        </w:rPr>
        <w:t>按职责分工分别负责</w:t>
      </w:r>
      <w:r>
        <w:rPr>
          <w:rFonts w:hint="eastAsia" w:ascii="楷体_GB2312" w:eastAsia="楷体_GB2312" w:cs="方正楷体_GBK"/>
          <w:color w:val="auto"/>
          <w:w w:val="98"/>
          <w:szCs w:val="32"/>
        </w:rPr>
        <w:t>）</w:t>
      </w:r>
    </w:p>
    <w:p>
      <w:pPr>
        <w:ind w:firstLine="626" w:firstLineChars="200"/>
        <w:rPr>
          <w:rFonts w:ascii="楷体_GB2312" w:eastAsia="楷体_GB2312" w:cs="方正楷体_GBK"/>
          <w:color w:val="auto"/>
          <w:w w:val="98"/>
          <w:szCs w:val="32"/>
        </w:rPr>
      </w:pPr>
      <w:r>
        <w:rPr>
          <w:rFonts w:hint="eastAsia" w:ascii="楷体_GB2312" w:eastAsia="楷体_GB2312" w:cs="方正楷体_GBK"/>
          <w:color w:val="auto"/>
          <w:w w:val="98"/>
          <w:szCs w:val="32"/>
        </w:rPr>
        <w:t>（二十二）落实生态安全保障措施</w:t>
      </w:r>
      <w:r>
        <w:rPr>
          <w:rFonts w:ascii="楷体_GB2312" w:eastAsia="楷体_GB2312" w:cs="方正楷体_GBK"/>
          <w:color w:val="auto"/>
          <w:w w:val="98"/>
          <w:szCs w:val="32"/>
        </w:rPr>
        <w:t>。</w:t>
      </w:r>
      <w:r>
        <w:rPr>
          <w:rFonts w:hint="eastAsia" w:ascii="仿宋_GB2312" w:eastAsia="仿宋_GB2312" w:cs="仿宋_GB2312"/>
          <w:color w:val="auto"/>
          <w:w w:val="98"/>
          <w:szCs w:val="32"/>
        </w:rPr>
        <w:t>制定科学合理的灌溉制度，采取全面节水灌溉措施，防止出现耕地土壤的次生盐渍化。做好水土保持等工作，通过建设芦苇人工湿地、生物净化等措施，净化处理灌区退水，改善和提升区域水生生态系统，促进区域生态系统良性发展。杜绝具有污染性的化学改良剂使用，避免对盐碱地造成重金属超标、土壤板结等严重后果。</w:t>
      </w:r>
      <w:r>
        <w:rPr>
          <w:rFonts w:hint="eastAsia" w:ascii="楷体_GB2312" w:eastAsia="楷体_GB2312" w:cs="方正楷体_GBK"/>
          <w:color w:val="auto"/>
          <w:w w:val="98"/>
          <w:szCs w:val="32"/>
        </w:rPr>
        <w:t>（省生态环境厅、省水利厅、省自然资源厅、省农业农村厅</w:t>
      </w:r>
      <w:r>
        <w:rPr>
          <w:rFonts w:hint="eastAsia" w:ascii="楷体_GB2312" w:eastAsia="楷体_GB2312" w:cs="方正楷体_GBK"/>
          <w:color w:val="auto"/>
          <w:w w:val="98"/>
          <w:szCs w:val="32"/>
          <w:lang w:eastAsia="zh-CN"/>
        </w:rPr>
        <w:t>按职责分工分别负责</w:t>
      </w:r>
      <w:r>
        <w:rPr>
          <w:rFonts w:hint="eastAsia" w:ascii="楷体_GB2312" w:eastAsia="楷体_GB2312" w:cs="方正楷体_GBK"/>
          <w:color w:val="auto"/>
          <w:w w:val="98"/>
          <w:szCs w:val="32"/>
        </w:rPr>
        <w:t>）</w:t>
      </w:r>
    </w:p>
    <w:p>
      <w:pPr>
        <w:spacing w:line="341" w:lineRule="auto"/>
        <w:ind w:firstLine="626" w:firstLineChars="200"/>
        <w:rPr>
          <w:rFonts w:ascii="黑体" w:eastAsia="黑体" w:cs="黑体"/>
          <w:bCs/>
          <w:color w:val="auto"/>
          <w:w w:val="98"/>
          <w:szCs w:val="32"/>
        </w:rPr>
      </w:pPr>
      <w:r>
        <w:rPr>
          <w:rFonts w:ascii="黑体" w:eastAsia="黑体" w:cs="黑体"/>
          <w:color w:val="auto"/>
          <w:w w:val="98"/>
          <w:szCs w:val="32"/>
        </w:rPr>
        <w:t>九</w:t>
      </w:r>
      <w:r>
        <w:rPr>
          <w:rFonts w:hint="eastAsia" w:ascii="黑体" w:eastAsia="黑体" w:cs="黑体"/>
          <w:color w:val="auto"/>
          <w:w w:val="98"/>
          <w:szCs w:val="32"/>
        </w:rPr>
        <w:t>、拓宽资金筹措渠道</w:t>
      </w:r>
    </w:p>
    <w:p>
      <w:pPr>
        <w:spacing w:line="341" w:lineRule="auto"/>
        <w:ind w:firstLine="626" w:firstLineChars="200"/>
        <w:rPr>
          <w:rFonts w:ascii="楷体_GB2312" w:eastAsia="楷体_GB2312" w:cs="方正楷体_GBK"/>
          <w:color w:val="auto"/>
          <w:w w:val="98"/>
          <w:szCs w:val="32"/>
        </w:rPr>
      </w:pPr>
      <w:r>
        <w:rPr>
          <w:rFonts w:hint="eastAsia" w:ascii="楷体_GB2312" w:eastAsia="楷体_GB2312" w:cs="仿宋_GB2312"/>
          <w:color w:val="auto"/>
          <w:w w:val="98"/>
          <w:szCs w:val="32"/>
        </w:rPr>
        <w:t>（二十三）加大各级财政资金投入</w:t>
      </w:r>
      <w:r>
        <w:rPr>
          <w:rFonts w:ascii="楷体_GB2312" w:eastAsia="楷体_GB2312" w:cs="仿宋_GB2312"/>
          <w:color w:val="auto"/>
          <w:w w:val="98"/>
          <w:szCs w:val="32"/>
        </w:rPr>
        <w:t>。</w:t>
      </w:r>
      <w:r>
        <w:rPr>
          <w:rFonts w:hint="eastAsia" w:ascii="仿宋_GB2312" w:hAnsi="仿宋_GB2312" w:eastAsia="仿宋_GB2312" w:cs="仿宋_GB2312"/>
          <w:color w:val="auto"/>
          <w:sz w:val="32"/>
          <w:szCs w:val="32"/>
          <w:lang w:val="en-US" w:eastAsia="zh-CN"/>
        </w:rPr>
        <w:t>各级政府应加大财政投入力度，各市、县按照规定统筹相关项目和资金支持盐碱地等耕地后备资源综合利用，科学制定资金使用计划，做好年度预算安排。</w:t>
      </w:r>
      <w:r>
        <w:rPr>
          <w:rFonts w:hint="eastAsia" w:ascii="楷体_GB2312" w:eastAsia="楷体_GB2312" w:cs="方正楷体_GBK"/>
          <w:color w:val="auto"/>
          <w:w w:val="98"/>
          <w:szCs w:val="32"/>
        </w:rPr>
        <w:t>（省财政厅，市、县人民政府</w:t>
      </w:r>
      <w:r>
        <w:rPr>
          <w:rFonts w:hint="eastAsia" w:ascii="楷体_GB2312" w:eastAsia="楷体_GB2312" w:cs="方正楷体_GBK"/>
          <w:color w:val="auto"/>
          <w:w w:val="98"/>
          <w:szCs w:val="32"/>
          <w:lang w:eastAsia="zh-CN"/>
        </w:rPr>
        <w:t>按职责分工分别负责</w:t>
      </w:r>
      <w:r>
        <w:rPr>
          <w:rFonts w:hint="eastAsia" w:ascii="楷体_GB2312" w:eastAsia="楷体_GB2312" w:cs="方正楷体_GBK"/>
          <w:color w:val="auto"/>
          <w:w w:val="98"/>
          <w:szCs w:val="32"/>
        </w:rPr>
        <w:t>）</w:t>
      </w:r>
    </w:p>
    <w:p>
      <w:pPr>
        <w:spacing w:line="341" w:lineRule="auto"/>
        <w:ind w:firstLine="626" w:firstLineChars="200"/>
        <w:rPr>
          <w:rFonts w:ascii="仿宋_GB2312" w:eastAsia="仿宋_GB2312" w:cs="仿宋_GB2312"/>
          <w:color w:val="auto"/>
          <w:w w:val="98"/>
          <w:szCs w:val="32"/>
        </w:rPr>
      </w:pPr>
      <w:r>
        <w:rPr>
          <w:rFonts w:hint="eastAsia" w:ascii="楷体_GB2312" w:eastAsia="楷体_GB2312" w:cs="仿宋_GB2312"/>
          <w:color w:val="auto"/>
          <w:w w:val="98"/>
          <w:szCs w:val="32"/>
        </w:rPr>
        <w:t>（二十四）</w:t>
      </w:r>
      <w:r>
        <w:rPr>
          <w:rFonts w:ascii="楷体_GB2312" w:eastAsia="楷体_GB2312" w:cs="仿宋_GB2312"/>
          <w:color w:val="auto"/>
          <w:w w:val="98"/>
          <w:szCs w:val="32"/>
        </w:rPr>
        <w:t>支持</w:t>
      </w:r>
      <w:r>
        <w:rPr>
          <w:rFonts w:hint="eastAsia" w:ascii="楷体_GB2312" w:eastAsia="楷体_GB2312" w:cs="仿宋_GB2312"/>
          <w:color w:val="auto"/>
          <w:w w:val="98"/>
          <w:szCs w:val="32"/>
        </w:rPr>
        <w:t>发行专项</w:t>
      </w:r>
      <w:r>
        <w:rPr>
          <w:rFonts w:ascii="楷体_GB2312" w:eastAsia="楷体_GB2312" w:cs="仿宋_GB2312"/>
          <w:color w:val="auto"/>
          <w:w w:val="98"/>
          <w:szCs w:val="32"/>
        </w:rPr>
        <w:t>债券。</w:t>
      </w:r>
      <w:r>
        <w:rPr>
          <w:rFonts w:hint="eastAsia" w:ascii="仿宋_GB2312" w:hAnsi="仿宋_GB2312" w:eastAsia="仿宋_GB2312" w:cs="仿宋_GB2312"/>
          <w:color w:val="auto"/>
          <w:sz w:val="32"/>
          <w:szCs w:val="32"/>
          <w:lang w:val="en-US" w:eastAsia="zh-CN"/>
        </w:rPr>
        <w:t>在地方政府债务风险可控的前提下，将符合条件的盐碱治理和高标准农田建设项目进行统筹整合，发行政府专项债券，拓宽盐碱地等耕地后备资源融资渠道</w:t>
      </w:r>
      <w:r>
        <w:rPr>
          <w:rFonts w:ascii="仿宋_GB2312" w:eastAsia="仿宋_GB2312" w:cs="仿宋_GB2312"/>
          <w:color w:val="auto"/>
          <w:w w:val="98"/>
          <w:szCs w:val="32"/>
        </w:rPr>
        <w:t>。</w:t>
      </w:r>
      <w:r>
        <w:rPr>
          <w:rFonts w:hint="eastAsia" w:ascii="楷体_GB2312" w:eastAsia="楷体_GB2312" w:cs="方正楷体_GBK"/>
          <w:color w:val="auto"/>
          <w:w w:val="98"/>
          <w:szCs w:val="32"/>
        </w:rPr>
        <w:t>（省发改委</w:t>
      </w:r>
      <w:r>
        <w:rPr>
          <w:rFonts w:hint="eastAsia" w:ascii="楷体_GB2312" w:eastAsia="楷体_GB2312" w:cs="方正楷体_GBK"/>
          <w:color w:val="auto"/>
          <w:w w:val="98"/>
          <w:szCs w:val="32"/>
          <w:lang w:eastAsia="zh-CN"/>
        </w:rPr>
        <w:t>，</w:t>
      </w:r>
      <w:r>
        <w:rPr>
          <w:rFonts w:hint="eastAsia" w:ascii="楷体_GB2312" w:eastAsia="楷体_GB2312" w:cs="方正楷体_GBK"/>
          <w:color w:val="auto"/>
          <w:w w:val="98"/>
          <w:szCs w:val="32"/>
        </w:rPr>
        <w:t>省财政厅，市、县人民政府</w:t>
      </w:r>
      <w:r>
        <w:rPr>
          <w:rFonts w:hint="eastAsia" w:ascii="楷体_GB2312" w:eastAsia="楷体_GB2312" w:cs="方正楷体_GBK"/>
          <w:color w:val="auto"/>
          <w:w w:val="98"/>
          <w:szCs w:val="32"/>
          <w:lang w:eastAsia="zh-CN"/>
        </w:rPr>
        <w:t>按职责分工分别负责</w:t>
      </w:r>
      <w:r>
        <w:rPr>
          <w:rFonts w:hint="eastAsia" w:ascii="楷体_GB2312" w:eastAsia="楷体_GB2312" w:cs="方正楷体_GBK"/>
          <w:color w:val="auto"/>
          <w:w w:val="98"/>
          <w:szCs w:val="32"/>
        </w:rPr>
        <w:t>）</w:t>
      </w:r>
    </w:p>
    <w:p>
      <w:pPr>
        <w:spacing w:line="341" w:lineRule="auto"/>
        <w:ind w:firstLine="626" w:firstLineChars="200"/>
        <w:rPr>
          <w:rFonts w:ascii="楷体_GB2312" w:eastAsia="楷体_GB2312" w:cs="仿宋_GB2312"/>
          <w:color w:val="auto"/>
          <w:w w:val="98"/>
          <w:szCs w:val="32"/>
        </w:rPr>
      </w:pPr>
      <w:r>
        <w:rPr>
          <w:rFonts w:hint="eastAsia" w:ascii="楷体_GB2312" w:eastAsia="楷体_GB2312" w:cs="仿宋_GB2312"/>
          <w:color w:val="auto"/>
          <w:w w:val="98"/>
          <w:szCs w:val="32"/>
        </w:rPr>
        <w:t>（二十五）加大金融支持</w:t>
      </w:r>
      <w:r>
        <w:rPr>
          <w:rFonts w:ascii="楷体_GB2312" w:eastAsia="楷体_GB2312" w:cs="仿宋_GB2312"/>
          <w:color w:val="auto"/>
          <w:w w:val="98"/>
          <w:szCs w:val="32"/>
        </w:rPr>
        <w:t>。</w:t>
      </w:r>
      <w:r>
        <w:rPr>
          <w:rFonts w:hint="eastAsia" w:ascii="仿宋_GB2312" w:eastAsia="仿宋_GB2312" w:cs="仿宋_GB2312"/>
          <w:color w:val="auto"/>
          <w:w w:val="98"/>
          <w:szCs w:val="32"/>
        </w:rPr>
        <w:t>创新投融资模式，</w:t>
      </w:r>
      <w:r>
        <w:rPr>
          <w:rFonts w:hint="eastAsia" w:ascii="仿宋_GB2312" w:eastAsia="仿宋_GB2312" w:cs="仿宋_GB2312"/>
          <w:color w:val="auto"/>
          <w:w w:val="98"/>
          <w:szCs w:val="32"/>
          <w:lang w:eastAsia="zh-CN"/>
        </w:rPr>
        <w:t>鼓励金融机构支持盐碱地等耕地后备资源综合利用，</w:t>
      </w:r>
      <w:r>
        <w:rPr>
          <w:rFonts w:hint="eastAsia" w:ascii="仿宋_GB2312" w:eastAsia="仿宋_GB2312" w:cs="仿宋_GB2312"/>
          <w:color w:val="auto"/>
          <w:w w:val="98"/>
          <w:szCs w:val="32"/>
        </w:rPr>
        <w:t>支持符合条件的投资主体发行企业债券、公司债券、非金融企业债务融资工具等公司信用类债券，用于开展盐碱地等耕地后备资源综合利用。</w:t>
      </w:r>
      <w:r>
        <w:rPr>
          <w:rFonts w:hint="eastAsia" w:ascii="楷体_GB2312" w:eastAsia="楷体_GB2312" w:cs="仿宋_GB2312"/>
          <w:color w:val="auto"/>
          <w:w w:val="98"/>
          <w:szCs w:val="32"/>
        </w:rPr>
        <w:t>（省地方金融管理局、</w:t>
      </w:r>
      <w:r>
        <w:rPr>
          <w:rFonts w:hint="eastAsia" w:ascii="楷体_GB2312" w:eastAsia="楷体_GB2312" w:cs="仿宋_GB2312"/>
          <w:color w:val="auto"/>
          <w:w w:val="98"/>
          <w:szCs w:val="32"/>
          <w:lang w:eastAsia="zh-CN"/>
        </w:rPr>
        <w:t>省发改委、</w:t>
      </w:r>
      <w:r>
        <w:rPr>
          <w:rFonts w:hint="eastAsia" w:ascii="楷体_GB2312" w:eastAsia="楷体_GB2312" w:cs="仿宋_GB2312"/>
          <w:color w:val="auto"/>
          <w:w w:val="98"/>
          <w:szCs w:val="32"/>
        </w:rPr>
        <w:t>中国人民银行长春中心支行</w:t>
      </w:r>
      <w:r>
        <w:rPr>
          <w:rFonts w:hint="eastAsia" w:ascii="楷体_GB2312" w:eastAsia="楷体_GB2312" w:cs="仿宋_GB2312"/>
          <w:color w:val="auto"/>
          <w:w w:val="98"/>
          <w:szCs w:val="32"/>
          <w:lang w:eastAsia="zh-CN"/>
        </w:rPr>
        <w:t>、吉林银保监局、吉林证监局</w:t>
      </w:r>
      <w:r>
        <w:rPr>
          <w:rFonts w:hint="eastAsia" w:ascii="楷体_GB2312" w:eastAsia="楷体_GB2312" w:cs="方正楷体_GBK"/>
          <w:color w:val="auto"/>
          <w:w w:val="98"/>
          <w:szCs w:val="32"/>
          <w:lang w:eastAsia="zh-CN"/>
        </w:rPr>
        <w:t>按职责分工分别负责</w:t>
      </w:r>
      <w:r>
        <w:rPr>
          <w:rFonts w:hint="eastAsia" w:ascii="楷体_GB2312" w:eastAsia="楷体_GB2312" w:cs="仿宋_GB2312"/>
          <w:color w:val="auto"/>
          <w:w w:val="98"/>
          <w:szCs w:val="32"/>
        </w:rPr>
        <w:t>）</w:t>
      </w:r>
    </w:p>
    <w:p>
      <w:pPr>
        <w:spacing w:line="341" w:lineRule="auto"/>
        <w:ind w:firstLine="626" w:firstLineChars="200"/>
        <w:rPr>
          <w:rFonts w:ascii="楷体_GB2312" w:eastAsia="楷体_GB2312" w:cs="方正楷体_GBK"/>
          <w:color w:val="auto"/>
          <w:w w:val="98"/>
          <w:szCs w:val="32"/>
        </w:rPr>
      </w:pPr>
      <w:r>
        <w:rPr>
          <w:rFonts w:hint="eastAsia" w:ascii="楷体_GB2312" w:eastAsia="楷体_GB2312" w:cs="仿宋_GB2312"/>
          <w:color w:val="auto"/>
          <w:w w:val="98"/>
          <w:szCs w:val="32"/>
        </w:rPr>
        <w:t>（二十六）鼓励社会资本投入</w:t>
      </w:r>
      <w:r>
        <w:rPr>
          <w:rFonts w:ascii="楷体_GB2312" w:eastAsia="楷体_GB2312" w:cs="仿宋_GB2312"/>
          <w:color w:val="auto"/>
          <w:w w:val="98"/>
          <w:szCs w:val="32"/>
        </w:rPr>
        <w:t>。</w:t>
      </w:r>
      <w:r>
        <w:rPr>
          <w:rFonts w:hint="eastAsia" w:ascii="仿宋_GB2312" w:eastAsia="仿宋_GB2312" w:cs="仿宋_GB2312"/>
          <w:color w:val="auto"/>
          <w:w w:val="98"/>
          <w:szCs w:val="32"/>
        </w:rPr>
        <w:t>采取政府和社会资本合作（</w:t>
      </w:r>
      <w:r>
        <w:rPr>
          <w:rFonts w:ascii="仿宋_GB2312" w:eastAsia="仿宋_GB2312" w:cs="仿宋_GB2312"/>
          <w:color w:val="auto"/>
          <w:w w:val="98"/>
          <w:szCs w:val="32"/>
        </w:rPr>
        <w:t>PPP</w:t>
      </w:r>
      <w:r>
        <w:rPr>
          <w:rFonts w:hint="eastAsia" w:ascii="仿宋_GB2312" w:eastAsia="仿宋_GB2312" w:cs="仿宋_GB2312"/>
          <w:color w:val="auto"/>
          <w:w w:val="98"/>
          <w:szCs w:val="32"/>
        </w:rPr>
        <w:t>）模式、以奖代补等方式，鼓励和引导国有企业、民营企业、农村集体经济组织、农民和新型农业经营主体等社会资本，参与盐碱地等耕地后备资源综合利用，保障社会资本获得合理利润。</w:t>
      </w:r>
      <w:r>
        <w:rPr>
          <w:rFonts w:hint="eastAsia" w:ascii="楷体_GB2312" w:eastAsia="楷体_GB2312" w:cs="方正楷体_GBK"/>
          <w:color w:val="auto"/>
          <w:w w:val="98"/>
          <w:szCs w:val="32"/>
        </w:rPr>
        <w:t>（</w:t>
      </w:r>
      <w:r>
        <w:rPr>
          <w:rFonts w:hint="eastAsia" w:ascii="楷体_GB2312" w:eastAsia="楷体_GB2312" w:cs="仿宋_GB2312"/>
          <w:color w:val="auto"/>
          <w:w w:val="98"/>
          <w:szCs w:val="32"/>
          <w:lang w:val="en-US" w:eastAsia="zh-CN"/>
        </w:rPr>
        <w:t>市、县人民政府，省财政厅、省自然资源厅</w:t>
      </w:r>
      <w:r>
        <w:rPr>
          <w:rFonts w:hint="eastAsia" w:ascii="楷体_GB2312" w:eastAsia="楷体_GB2312" w:cs="方正楷体_GBK"/>
          <w:color w:val="auto"/>
          <w:w w:val="98"/>
          <w:szCs w:val="32"/>
          <w:lang w:eastAsia="zh-CN"/>
        </w:rPr>
        <w:t>按职责分工分别负责</w:t>
      </w:r>
      <w:r>
        <w:rPr>
          <w:rFonts w:hint="eastAsia" w:ascii="楷体_GB2312" w:eastAsia="楷体_GB2312" w:cs="方正楷体_GBK"/>
          <w:color w:val="auto"/>
          <w:w w:val="98"/>
          <w:szCs w:val="32"/>
        </w:rPr>
        <w:t>）</w:t>
      </w:r>
    </w:p>
    <w:p>
      <w:pPr>
        <w:spacing w:line="341" w:lineRule="auto"/>
        <w:ind w:firstLine="626" w:firstLineChars="200"/>
        <w:rPr>
          <w:rFonts w:hint="eastAsia" w:ascii="方正黑体_GBK" w:eastAsia="方正黑体_GBK" w:cs="方正楷体_GBK"/>
          <w:color w:val="auto"/>
          <w:w w:val="98"/>
          <w:szCs w:val="32"/>
        </w:rPr>
      </w:pPr>
      <w:r>
        <w:rPr>
          <w:rFonts w:hint="eastAsia" w:ascii="方正黑体_GBK" w:eastAsia="方正黑体_GBK" w:cs="方正楷体_GBK"/>
          <w:color w:val="auto"/>
          <w:w w:val="98"/>
          <w:szCs w:val="32"/>
        </w:rPr>
        <w:t>十、加强补充耕地指标调剂资金使用管理</w:t>
      </w:r>
    </w:p>
    <w:p>
      <w:pPr>
        <w:spacing w:line="341" w:lineRule="auto"/>
        <w:ind w:firstLine="626" w:firstLineChars="200"/>
        <w:rPr>
          <w:rFonts w:ascii="仿宋_GB2312" w:eastAsia="仿宋_GB2312" w:cs="仿宋_GB2312"/>
          <w:color w:val="auto"/>
          <w:w w:val="98"/>
          <w:szCs w:val="32"/>
        </w:rPr>
      </w:pPr>
      <w:r>
        <w:rPr>
          <w:rFonts w:hint="eastAsia" w:ascii="CESI楷体-GB2312" w:eastAsia="CESI楷体-GB2312" w:cs="方正楷体_GBK"/>
          <w:color w:val="auto"/>
          <w:w w:val="98"/>
          <w:szCs w:val="32"/>
        </w:rPr>
        <w:t>（二十七）规范</w:t>
      </w:r>
      <w:r>
        <w:rPr>
          <w:rFonts w:ascii="CESI楷体-GB2312" w:eastAsia="CESI楷体-GB2312" w:cs="方正楷体_GBK"/>
          <w:color w:val="auto"/>
          <w:w w:val="98"/>
          <w:szCs w:val="32"/>
        </w:rPr>
        <w:t>使用</w:t>
      </w:r>
      <w:r>
        <w:rPr>
          <w:rFonts w:hint="eastAsia" w:ascii="CESI楷体-GB2312" w:eastAsia="CESI楷体-GB2312" w:cs="方正楷体_GBK"/>
          <w:color w:val="auto"/>
          <w:w w:val="98"/>
          <w:szCs w:val="32"/>
        </w:rPr>
        <w:t>市县资金。</w:t>
      </w:r>
      <w:r>
        <w:rPr>
          <w:rFonts w:hint="eastAsia" w:ascii="CESI仿宋-GB2312" w:eastAsia="CESI仿宋-GB2312" w:cs="方正楷体_GBK"/>
          <w:color w:val="auto"/>
          <w:w w:val="98"/>
          <w:szCs w:val="32"/>
        </w:rPr>
        <w:t>市县</w:t>
      </w:r>
      <w:r>
        <w:rPr>
          <w:rFonts w:hint="eastAsia" w:ascii="仿宋_GB2312" w:eastAsia="仿宋_GB2312" w:cs="仿宋_GB2312"/>
          <w:color w:val="auto"/>
          <w:w w:val="98"/>
          <w:szCs w:val="32"/>
        </w:rPr>
        <w:t>政府要出台补充耕地指标调剂资金使用管理办法，明确资金使用计划和使用方向</w:t>
      </w:r>
      <w:r>
        <w:rPr>
          <w:rFonts w:ascii="仿宋_GB2312" w:eastAsia="仿宋_GB2312" w:cs="仿宋_GB2312"/>
          <w:color w:val="auto"/>
          <w:w w:val="98"/>
          <w:szCs w:val="32"/>
        </w:rPr>
        <w:t>，优先用于盐碱地等耕地后备资源综合利用，保障形成资金投入回收的良性循环，结余部分全部用于乡村振兴。</w:t>
      </w:r>
      <w:r>
        <w:rPr>
          <w:rFonts w:hint="eastAsia" w:ascii="楷体_GB2312" w:eastAsia="楷体_GB2312" w:cs="方正楷体_GBK"/>
          <w:color w:val="auto"/>
          <w:w w:val="98"/>
          <w:szCs w:val="32"/>
        </w:rPr>
        <w:t>（市、县人民政府）</w:t>
      </w:r>
    </w:p>
    <w:p>
      <w:pPr>
        <w:adjustRightInd w:val="0"/>
        <w:snapToGrid w:val="0"/>
        <w:spacing w:line="341" w:lineRule="auto"/>
        <w:ind w:firstLine="707" w:firstLineChars="226"/>
        <w:rPr>
          <w:rFonts w:ascii="黑体" w:eastAsia="黑体" w:cs="CESI黑体-GB13000"/>
          <w:color w:val="auto"/>
          <w:w w:val="98"/>
          <w:szCs w:val="32"/>
        </w:rPr>
      </w:pPr>
      <w:r>
        <w:rPr>
          <w:rFonts w:hint="eastAsia" w:ascii="黑体" w:eastAsia="黑体" w:cs="CESI黑体-GB13000"/>
          <w:color w:val="auto"/>
          <w:w w:val="98"/>
          <w:szCs w:val="32"/>
        </w:rPr>
        <w:t>十</w:t>
      </w:r>
      <w:r>
        <w:rPr>
          <w:rFonts w:ascii="黑体" w:eastAsia="黑体" w:cs="CESI黑体-GB13000"/>
          <w:color w:val="auto"/>
          <w:w w:val="98"/>
          <w:szCs w:val="32"/>
        </w:rPr>
        <w:t>一</w:t>
      </w:r>
      <w:r>
        <w:rPr>
          <w:rFonts w:hint="eastAsia" w:ascii="黑体" w:eastAsia="黑体" w:cs="CESI黑体-GB13000"/>
          <w:color w:val="auto"/>
          <w:w w:val="98"/>
          <w:szCs w:val="32"/>
        </w:rPr>
        <w:t>、严格后期</w:t>
      </w:r>
      <w:r>
        <w:rPr>
          <w:rFonts w:ascii="黑体" w:eastAsia="黑体" w:cs="CESI黑体-GB13000"/>
          <w:color w:val="auto"/>
          <w:w w:val="98"/>
          <w:szCs w:val="32"/>
        </w:rPr>
        <w:t>经营</w:t>
      </w:r>
      <w:r>
        <w:rPr>
          <w:rFonts w:hint="eastAsia" w:ascii="黑体" w:eastAsia="黑体" w:cs="CESI黑体-GB13000"/>
          <w:color w:val="auto"/>
          <w:w w:val="98"/>
          <w:szCs w:val="32"/>
        </w:rPr>
        <w:t>管护</w:t>
      </w:r>
    </w:p>
    <w:p>
      <w:pPr>
        <w:adjustRightInd w:val="0"/>
        <w:snapToGrid w:val="0"/>
        <w:spacing w:line="341" w:lineRule="auto"/>
        <w:ind w:firstLine="707" w:firstLineChars="226"/>
        <w:rPr>
          <w:rFonts w:ascii="仿宋_GB2312" w:hAnsi="仿宋_GB2312" w:eastAsia="楷体_GB2312" w:cs="仿宋_GB2312"/>
          <w:color w:val="auto"/>
          <w:w w:val="98"/>
          <w:szCs w:val="32"/>
        </w:rPr>
      </w:pPr>
      <w:r>
        <w:rPr>
          <w:rFonts w:hint="eastAsia" w:ascii="楷体_GB2312" w:eastAsia="楷体_GB2312" w:cs="方正楷体_GBK"/>
          <w:color w:val="auto"/>
          <w:w w:val="98"/>
          <w:szCs w:val="32"/>
        </w:rPr>
        <w:t>（二十</w:t>
      </w:r>
      <w:r>
        <w:rPr>
          <w:rFonts w:hint="eastAsia" w:ascii="楷体_GB2312" w:eastAsia="楷体_GB2312" w:cs="方正楷体_GBK"/>
          <w:color w:val="auto"/>
          <w:w w:val="98"/>
          <w:szCs w:val="32"/>
          <w:lang w:eastAsia="zh-CN"/>
        </w:rPr>
        <w:t>八</w:t>
      </w:r>
      <w:r>
        <w:rPr>
          <w:rFonts w:hint="eastAsia" w:ascii="楷体_GB2312" w:eastAsia="楷体_GB2312" w:cs="方正楷体_GBK"/>
          <w:color w:val="auto"/>
          <w:w w:val="98"/>
          <w:szCs w:val="32"/>
        </w:rPr>
        <w:t>）建立后期管护制度</w:t>
      </w:r>
      <w:r>
        <w:rPr>
          <w:rFonts w:ascii="楷体_GB2312" w:eastAsia="楷体_GB2312" w:cs="方正楷体_GBK"/>
          <w:color w:val="auto"/>
          <w:w w:val="98"/>
          <w:szCs w:val="32"/>
        </w:rPr>
        <w:t>。</w:t>
      </w:r>
      <w:r>
        <w:rPr>
          <w:rFonts w:hint="eastAsia" w:ascii="仿宋_GB2312" w:eastAsia="仿宋_GB2312" w:cs="仿宋_GB2312"/>
          <w:color w:val="auto"/>
          <w:w w:val="98"/>
          <w:szCs w:val="32"/>
        </w:rPr>
        <w:t>新增耕地项目所在地政府按照“谁使用、谁管护、谁受益、谁负担”的原则，建立管护制度，落实管护责任和经费，切实做好新增耕地后期管护工作，坚决杜绝新增耕地弃耕、撂荒等现象，不得擅自将</w:t>
      </w:r>
      <w:r>
        <w:rPr>
          <w:rFonts w:ascii="仿宋_GB2312" w:eastAsia="仿宋_GB2312" w:cs="仿宋_GB2312"/>
          <w:color w:val="auto"/>
          <w:w w:val="98"/>
          <w:szCs w:val="32"/>
        </w:rPr>
        <w:t>新增</w:t>
      </w:r>
      <w:r>
        <w:rPr>
          <w:rFonts w:hint="eastAsia" w:ascii="仿宋_GB2312" w:eastAsia="仿宋_GB2312" w:cs="仿宋_GB2312"/>
          <w:color w:val="auto"/>
          <w:w w:val="98"/>
          <w:szCs w:val="32"/>
        </w:rPr>
        <w:t>水田改为旱地。</w:t>
      </w:r>
      <w:r>
        <w:rPr>
          <w:rFonts w:hint="eastAsia" w:ascii="楷体_GB2312" w:eastAsia="楷体_GB2312" w:cs="方正楷体_GBK"/>
          <w:color w:val="auto"/>
          <w:w w:val="98"/>
          <w:szCs w:val="32"/>
        </w:rPr>
        <w:t>（市、县人民政府）</w:t>
      </w:r>
    </w:p>
    <w:p>
      <w:pPr>
        <w:adjustRightInd w:val="0"/>
        <w:snapToGrid w:val="0"/>
        <w:spacing w:line="341" w:lineRule="auto"/>
        <w:ind w:firstLine="707" w:firstLineChars="226"/>
        <w:rPr>
          <w:rFonts w:ascii="楷体_GB2312" w:eastAsia="楷体_GB2312" w:cs="方正楷体_GBK"/>
          <w:color w:val="auto"/>
          <w:w w:val="98"/>
          <w:szCs w:val="32"/>
        </w:rPr>
      </w:pPr>
      <w:r>
        <w:rPr>
          <w:rFonts w:hint="eastAsia" w:ascii="楷体_GB2312" w:eastAsia="楷体_GB2312" w:cs="方正楷体_GBK"/>
          <w:color w:val="auto"/>
          <w:w w:val="98"/>
          <w:szCs w:val="32"/>
        </w:rPr>
        <w:t>（</w:t>
      </w:r>
      <w:r>
        <w:rPr>
          <w:rFonts w:hint="eastAsia" w:ascii="楷体_GB2312" w:eastAsia="楷体_GB2312" w:cs="方正楷体_GBK"/>
          <w:color w:val="auto"/>
          <w:w w:val="98"/>
          <w:szCs w:val="32"/>
          <w:lang w:eastAsia="zh-CN"/>
        </w:rPr>
        <w:t>二十九</w:t>
      </w:r>
      <w:r>
        <w:rPr>
          <w:rFonts w:hint="eastAsia" w:ascii="楷体_GB2312" w:eastAsia="楷体_GB2312" w:cs="方正楷体_GBK"/>
          <w:color w:val="auto"/>
          <w:w w:val="98"/>
          <w:szCs w:val="32"/>
        </w:rPr>
        <w:t>）强化新增耕地经营管护</w:t>
      </w:r>
      <w:r>
        <w:rPr>
          <w:rFonts w:ascii="楷体_GB2312" w:eastAsia="楷体_GB2312" w:cs="方正楷体_GBK"/>
          <w:color w:val="auto"/>
          <w:w w:val="98"/>
          <w:szCs w:val="32"/>
        </w:rPr>
        <w:t>。</w:t>
      </w:r>
      <w:r>
        <w:rPr>
          <w:rFonts w:hint="eastAsia" w:ascii="仿宋_GB2312" w:eastAsia="仿宋_GB2312" w:cs="仿宋_GB2312"/>
          <w:color w:val="auto"/>
          <w:w w:val="98"/>
          <w:szCs w:val="32"/>
        </w:rPr>
        <w:t>加强对新增耕地承包经营的日常监管</w:t>
      </w:r>
      <w:r>
        <w:rPr>
          <w:rFonts w:hint="eastAsia" w:ascii="仿宋_GB2312" w:eastAsia="仿宋_GB2312" w:cs="仿宋_GB2312"/>
          <w:color w:val="auto"/>
          <w:w w:val="98"/>
          <w:szCs w:val="32"/>
          <w:lang w:eastAsia="zh-CN"/>
        </w:rPr>
        <w:t>，</w:t>
      </w:r>
      <w:r>
        <w:rPr>
          <w:rFonts w:hint="eastAsia" w:ascii="仿宋_GB2312" w:eastAsia="仿宋_GB2312" w:cs="仿宋_GB2312"/>
          <w:color w:val="auto"/>
          <w:w w:val="98"/>
          <w:szCs w:val="32"/>
        </w:rPr>
        <w:t>鼓励支持承包新增耕地的农村集体经济组织、企业、个人和农户等持续种植经营，不断进行改良</w:t>
      </w:r>
      <w:r>
        <w:rPr>
          <w:rFonts w:ascii="仿宋_GB2312" w:eastAsia="仿宋_GB2312" w:cs="仿宋_GB2312"/>
          <w:color w:val="auto"/>
          <w:w w:val="98"/>
          <w:szCs w:val="32"/>
        </w:rPr>
        <w:t>培</w:t>
      </w:r>
      <w:r>
        <w:rPr>
          <w:rFonts w:hint="eastAsia" w:ascii="仿宋_GB2312" w:eastAsia="仿宋_GB2312" w:cs="仿宋_GB2312"/>
          <w:color w:val="auto"/>
          <w:w w:val="98"/>
          <w:szCs w:val="32"/>
        </w:rPr>
        <w:t>肥，确保新增耕地稳定长期利用。对于社会资本参与耕地后备资源开发利用的，项目竣工验收后，投资主体原则上负责新增耕地不少于两年的经营管护，保障耕地地力逐年增加。</w:t>
      </w:r>
      <w:r>
        <w:rPr>
          <w:rFonts w:hint="eastAsia" w:ascii="楷体_GB2312" w:eastAsia="楷体_GB2312" w:cs="方正楷体_GBK"/>
          <w:color w:val="auto"/>
          <w:w w:val="98"/>
          <w:szCs w:val="32"/>
        </w:rPr>
        <w:t>（市、县人民政府，省自然资源厅、省农业农村厅</w:t>
      </w:r>
      <w:r>
        <w:rPr>
          <w:rFonts w:hint="eastAsia" w:ascii="楷体_GB2312" w:eastAsia="楷体_GB2312" w:cs="方正楷体_GBK"/>
          <w:color w:val="auto"/>
          <w:w w:val="98"/>
          <w:szCs w:val="32"/>
          <w:lang w:eastAsia="zh-CN"/>
        </w:rPr>
        <w:t>、省财政厅按职责分工分别负责</w:t>
      </w:r>
      <w:r>
        <w:rPr>
          <w:rFonts w:hint="eastAsia" w:ascii="楷体_GB2312" w:eastAsia="楷体_GB2312" w:cs="方正楷体_GBK"/>
          <w:color w:val="auto"/>
          <w:w w:val="98"/>
          <w:szCs w:val="32"/>
        </w:rPr>
        <w:t>）</w:t>
      </w:r>
    </w:p>
    <w:p>
      <w:pPr>
        <w:adjustRightInd w:val="0"/>
        <w:snapToGrid w:val="0"/>
        <w:spacing w:line="341" w:lineRule="auto"/>
        <w:ind w:firstLine="707" w:firstLineChars="226"/>
        <w:rPr>
          <w:color w:val="auto"/>
        </w:rPr>
      </w:pPr>
      <w:r>
        <w:rPr>
          <w:rFonts w:hint="eastAsia" w:ascii="楷体_GB2312" w:eastAsia="楷体_GB2312" w:cs="方正楷体_GBK"/>
          <w:color w:val="auto"/>
          <w:w w:val="98"/>
          <w:szCs w:val="32"/>
        </w:rPr>
        <w:t>（三十）严格监督检查</w:t>
      </w:r>
      <w:r>
        <w:rPr>
          <w:rFonts w:ascii="楷体_GB2312" w:eastAsia="楷体_GB2312" w:cs="方正楷体_GBK"/>
          <w:color w:val="auto"/>
          <w:w w:val="98"/>
          <w:szCs w:val="32"/>
        </w:rPr>
        <w:t>。</w:t>
      </w:r>
      <w:r>
        <w:rPr>
          <w:rFonts w:hint="eastAsia" w:ascii="CESI仿宋-GB2312" w:eastAsia="CESI仿宋-GB2312" w:cs="方正楷体_GBK"/>
          <w:color w:val="auto"/>
          <w:w w:val="98"/>
          <w:szCs w:val="32"/>
        </w:rPr>
        <w:t>各级</w:t>
      </w:r>
      <w:r>
        <w:rPr>
          <w:rFonts w:hint="eastAsia"/>
          <w:color w:val="auto"/>
        </w:rPr>
        <w:t>政府建立新增耕地后期经营管护监督检查制度，定期开展实地检查。同时，运用卫星遥感、无人机航飞等技术，全面掌握新增耕地种植情况。对于存在问题的地方，要督促整改，问题严重的地方，要给予通报批评直至追究责任。</w:t>
      </w:r>
      <w:r>
        <w:rPr>
          <w:rFonts w:hint="eastAsia" w:ascii="楷体_GB2312" w:eastAsia="楷体_GB2312" w:cs="方正楷体_GBK"/>
          <w:color w:val="auto"/>
          <w:w w:val="98"/>
          <w:szCs w:val="32"/>
        </w:rPr>
        <w:t>（市、县人民政府，省自然资源厅</w:t>
      </w:r>
      <w:r>
        <w:rPr>
          <w:rFonts w:hint="eastAsia" w:ascii="楷体_GB2312" w:eastAsia="楷体_GB2312" w:cs="方正楷体_GBK"/>
          <w:color w:val="auto"/>
          <w:w w:val="98"/>
          <w:szCs w:val="32"/>
          <w:lang w:eastAsia="zh-CN"/>
        </w:rPr>
        <w:t>按职责分工分别负责</w:t>
      </w:r>
      <w:r>
        <w:rPr>
          <w:rFonts w:hint="eastAsia" w:ascii="楷体_GB2312" w:eastAsia="楷体_GB2312" w:cs="方正楷体_GBK"/>
          <w:color w:val="auto"/>
          <w:w w:val="98"/>
          <w:szCs w:val="32"/>
        </w:rPr>
        <w:t>）</w:t>
      </w:r>
    </w:p>
    <w:p>
      <w:pPr>
        <w:spacing w:line="341" w:lineRule="auto"/>
        <w:ind w:firstLine="626" w:firstLineChars="200"/>
        <w:rPr>
          <w:rFonts w:ascii="黑体" w:eastAsia="黑体" w:cs="黑体"/>
          <w:color w:val="auto"/>
          <w:w w:val="98"/>
          <w:szCs w:val="32"/>
        </w:rPr>
      </w:pPr>
      <w:r>
        <w:rPr>
          <w:rFonts w:hint="eastAsia" w:ascii="黑体" w:eastAsia="黑体" w:cs="黑体"/>
          <w:color w:val="auto"/>
          <w:w w:val="98"/>
          <w:szCs w:val="32"/>
        </w:rPr>
        <w:t>十</w:t>
      </w:r>
      <w:r>
        <w:rPr>
          <w:rFonts w:ascii="黑体" w:eastAsia="黑体" w:cs="黑体"/>
          <w:color w:val="auto"/>
          <w:w w:val="98"/>
          <w:szCs w:val="32"/>
        </w:rPr>
        <w:t>二</w:t>
      </w:r>
      <w:r>
        <w:rPr>
          <w:rFonts w:hint="eastAsia" w:ascii="黑体" w:eastAsia="黑体" w:cs="黑体"/>
          <w:color w:val="auto"/>
          <w:w w:val="98"/>
          <w:szCs w:val="32"/>
        </w:rPr>
        <w:t>、强化保障措施</w:t>
      </w:r>
    </w:p>
    <w:p>
      <w:pPr>
        <w:spacing w:line="341" w:lineRule="auto"/>
        <w:ind w:firstLine="626" w:firstLineChars="200"/>
        <w:rPr>
          <w:rFonts w:ascii="仿宋_GB2312" w:eastAsia="仿宋_GB2312" w:cs="仿宋_GB2312"/>
          <w:color w:val="auto"/>
          <w:w w:val="98"/>
          <w:szCs w:val="32"/>
        </w:rPr>
      </w:pPr>
      <w:r>
        <w:rPr>
          <w:rFonts w:hint="eastAsia" w:ascii="楷体_GB2312" w:eastAsia="楷体_GB2312" w:cs="仿宋_GB2312"/>
          <w:color w:val="auto"/>
          <w:w w:val="98"/>
          <w:szCs w:val="32"/>
        </w:rPr>
        <w:t>（三十</w:t>
      </w:r>
      <w:r>
        <w:rPr>
          <w:rFonts w:hint="eastAsia" w:ascii="楷体_GB2312" w:eastAsia="楷体_GB2312" w:cs="仿宋_GB2312"/>
          <w:color w:val="auto"/>
          <w:w w:val="98"/>
          <w:szCs w:val="32"/>
          <w:lang w:eastAsia="zh-CN"/>
        </w:rPr>
        <w:t>一</w:t>
      </w:r>
      <w:r>
        <w:rPr>
          <w:rFonts w:hint="eastAsia" w:ascii="楷体_GB2312" w:eastAsia="楷体_GB2312" w:cs="仿宋_GB2312"/>
          <w:color w:val="auto"/>
          <w:w w:val="98"/>
          <w:szCs w:val="32"/>
        </w:rPr>
        <w:t>）加强组织领导</w:t>
      </w:r>
      <w:r>
        <w:rPr>
          <w:rFonts w:ascii="楷体_GB2312" w:eastAsia="楷体_GB2312" w:cs="仿宋_GB2312"/>
          <w:color w:val="auto"/>
          <w:w w:val="98"/>
          <w:szCs w:val="32"/>
        </w:rPr>
        <w:t>。</w:t>
      </w:r>
      <w:r>
        <w:rPr>
          <w:rFonts w:hint="eastAsia" w:ascii="仿宋_GB2312" w:eastAsia="仿宋_GB2312" w:cs="仿宋_GB2312"/>
          <w:color w:val="auto"/>
          <w:w w:val="98"/>
          <w:szCs w:val="32"/>
        </w:rPr>
        <w:t>各级政府要高度重视盐碱地等耕地后备资源综合利用工作，将其纳入重要议事日程。建立盐碱地等耕地后备资源综合利用管理协调联动机制，自然资源、农业农村、水利、发展改革、财政、生态环境、审计、林草、银保监等部门要各负其职，协同推进相关工作。</w:t>
      </w:r>
    </w:p>
    <w:p>
      <w:pPr>
        <w:spacing w:line="341" w:lineRule="auto"/>
        <w:ind w:firstLine="626" w:firstLineChars="200"/>
        <w:rPr>
          <w:rFonts w:ascii="仿宋_GB2312" w:eastAsia="仿宋_GB2312" w:cs="仿宋_GB2312"/>
          <w:color w:val="auto"/>
          <w:w w:val="98"/>
          <w:szCs w:val="32"/>
        </w:rPr>
      </w:pPr>
      <w:r>
        <w:rPr>
          <w:rFonts w:hint="eastAsia" w:ascii="楷体_GB2312" w:eastAsia="楷体_GB2312" w:cs="仿宋_GB2312"/>
          <w:color w:val="auto"/>
          <w:w w:val="98"/>
          <w:szCs w:val="32"/>
        </w:rPr>
        <w:t>（三十</w:t>
      </w:r>
      <w:r>
        <w:rPr>
          <w:rFonts w:hint="eastAsia" w:ascii="楷体_GB2312" w:eastAsia="楷体_GB2312" w:cs="仿宋_GB2312"/>
          <w:color w:val="auto"/>
          <w:w w:val="98"/>
          <w:szCs w:val="32"/>
          <w:lang w:eastAsia="zh-CN"/>
        </w:rPr>
        <w:t>二</w:t>
      </w:r>
      <w:r>
        <w:rPr>
          <w:rFonts w:hint="eastAsia" w:ascii="楷体_GB2312" w:eastAsia="楷体_GB2312" w:cs="仿宋_GB2312"/>
          <w:color w:val="auto"/>
          <w:w w:val="98"/>
          <w:szCs w:val="32"/>
        </w:rPr>
        <w:t>）加强政策支持</w:t>
      </w:r>
      <w:r>
        <w:rPr>
          <w:rFonts w:ascii="楷体_GB2312" w:eastAsia="楷体_GB2312" w:cs="仿宋_GB2312"/>
          <w:color w:val="auto"/>
          <w:w w:val="98"/>
          <w:szCs w:val="32"/>
        </w:rPr>
        <w:t>。</w:t>
      </w:r>
      <w:r>
        <w:rPr>
          <w:rFonts w:hint="eastAsia" w:ascii="仿宋" w:hAnsi="仿宋" w:eastAsia="仿宋" w:cs="仿宋"/>
          <w:color w:val="auto"/>
          <w:sz w:val="32"/>
          <w:szCs w:val="32"/>
          <w:lang w:val="en-US" w:eastAsia="zh-CN"/>
        </w:rPr>
        <w:t>加强补充耕地指标调剂支持力度，对于盐碱地等耕地后备资源综合利用产生的补充耕地指标，优先申报国家统筹和纳入省内调剂。项目新增耕地验收核定后，</w:t>
      </w:r>
      <w:r>
        <w:rPr>
          <w:rFonts w:hint="eastAsia" w:ascii="仿宋_GB2312" w:hAnsi="仿宋_GB2312" w:eastAsia="仿宋_GB2312" w:cs="仿宋_GB2312"/>
          <w:color w:val="auto"/>
          <w:sz w:val="32"/>
          <w:szCs w:val="32"/>
          <w:lang w:val="en-US" w:eastAsia="zh-CN"/>
        </w:rPr>
        <w:t>符合相关政策规定的，</w:t>
      </w:r>
      <w:r>
        <w:rPr>
          <w:rFonts w:hint="eastAsia" w:ascii="仿宋" w:hAnsi="仿宋" w:eastAsia="仿宋" w:cs="仿宋"/>
          <w:color w:val="auto"/>
          <w:sz w:val="32"/>
          <w:szCs w:val="32"/>
          <w:lang w:val="en-US" w:eastAsia="zh-CN"/>
        </w:rPr>
        <w:t>及时落实耕地地力补贴、玉米大豆生产者补贴、稻谷生产者补贴以及农机购置补贴等各项强农惠农富农政策。从社会资本参与盐碱地等耕地后备资源开发利用形成的跨省统筹补充耕地指标调剂资金省级留成部分中，统筹安排部分资金对盐碱地治理较好的市（县）给予奖补</w:t>
      </w:r>
      <w:r>
        <w:rPr>
          <w:rFonts w:hint="eastAsia" w:ascii="仿宋_GB2312" w:eastAsia="仿宋_GB2312" w:cs="仿宋_GB2312"/>
          <w:color w:val="auto"/>
          <w:w w:val="98"/>
          <w:szCs w:val="32"/>
        </w:rPr>
        <w:t>。</w:t>
      </w:r>
    </w:p>
    <w:p>
      <w:pPr>
        <w:spacing w:line="341" w:lineRule="auto"/>
        <w:ind w:firstLine="626" w:firstLineChars="200"/>
        <w:rPr>
          <w:rFonts w:ascii="仿宋_GB2312" w:eastAsia="仿宋_GB2312" w:cs="仿宋_GB2312"/>
          <w:color w:val="auto"/>
          <w:w w:val="98"/>
          <w:szCs w:val="32"/>
        </w:rPr>
      </w:pPr>
      <w:r>
        <w:rPr>
          <w:rFonts w:hint="eastAsia" w:ascii="楷体_GB2312" w:eastAsia="楷体_GB2312" w:cs="仿宋_GB2312"/>
          <w:color w:val="auto"/>
          <w:w w:val="98"/>
          <w:szCs w:val="32"/>
        </w:rPr>
        <w:t>（三十</w:t>
      </w:r>
      <w:r>
        <w:rPr>
          <w:rFonts w:hint="eastAsia" w:ascii="楷体_GB2312" w:eastAsia="楷体_GB2312" w:cs="仿宋_GB2312"/>
          <w:color w:val="auto"/>
          <w:w w:val="98"/>
          <w:szCs w:val="32"/>
          <w:lang w:eastAsia="zh-CN"/>
        </w:rPr>
        <w:t>三</w:t>
      </w:r>
      <w:r>
        <w:rPr>
          <w:rFonts w:hint="eastAsia" w:ascii="楷体_GB2312" w:eastAsia="楷体_GB2312" w:cs="仿宋_GB2312"/>
          <w:color w:val="auto"/>
          <w:w w:val="98"/>
          <w:szCs w:val="32"/>
        </w:rPr>
        <w:t>）加强技术指导</w:t>
      </w:r>
      <w:r>
        <w:rPr>
          <w:rFonts w:ascii="楷体_GB2312" w:eastAsia="楷体_GB2312" w:cs="仿宋_GB2312"/>
          <w:color w:val="auto"/>
          <w:w w:val="98"/>
          <w:szCs w:val="32"/>
        </w:rPr>
        <w:t>。</w:t>
      </w:r>
      <w:r>
        <w:rPr>
          <w:rFonts w:ascii="仿宋_GB2312" w:eastAsia="仿宋_GB2312" w:cs="仿宋_GB2312"/>
          <w:color w:val="auto"/>
          <w:w w:val="98"/>
          <w:szCs w:val="32"/>
        </w:rPr>
        <w:t>省级</w:t>
      </w:r>
      <w:r>
        <w:rPr>
          <w:rFonts w:hint="eastAsia" w:ascii="仿宋_GB2312" w:eastAsia="仿宋_GB2312" w:cs="仿宋_GB2312"/>
          <w:color w:val="auto"/>
          <w:w w:val="98"/>
          <w:szCs w:val="32"/>
        </w:rPr>
        <w:t>成立盐碱地改良技术保障专家委员会，定期对盐碱地等耕地后备资源综合利用工程进行技术指导。</w:t>
      </w:r>
      <w:r>
        <w:rPr>
          <w:rFonts w:ascii="仿宋_GB2312" w:eastAsia="仿宋_GB2312" w:cs="仿宋_GB2312"/>
          <w:color w:val="auto"/>
          <w:w w:val="98"/>
          <w:szCs w:val="32"/>
        </w:rPr>
        <w:t>依托盐碱地研究院，</w:t>
      </w:r>
      <w:r>
        <w:rPr>
          <w:rFonts w:hint="eastAsia" w:ascii="仿宋_GB2312" w:eastAsia="仿宋_GB2312" w:cs="仿宋_GB2312"/>
          <w:color w:val="auto"/>
          <w:w w:val="98"/>
          <w:szCs w:val="32"/>
        </w:rPr>
        <w:t>定期邀请知名院士及</w:t>
      </w:r>
      <w:r>
        <w:rPr>
          <w:rFonts w:ascii="仿宋_GB2312" w:eastAsia="仿宋_GB2312" w:cs="仿宋_GB2312"/>
          <w:color w:val="auto"/>
          <w:w w:val="98"/>
          <w:szCs w:val="32"/>
        </w:rPr>
        <w:t>技术</w:t>
      </w:r>
      <w:r>
        <w:rPr>
          <w:rFonts w:hint="eastAsia" w:ascii="仿宋_GB2312" w:eastAsia="仿宋_GB2312" w:cs="仿宋_GB2312"/>
          <w:color w:val="auto"/>
          <w:w w:val="98"/>
          <w:szCs w:val="32"/>
        </w:rPr>
        <w:t>团队进行盐碱地改良技术指导和学术交流。</w:t>
      </w:r>
    </w:p>
    <w:p>
      <w:pPr>
        <w:spacing w:line="341" w:lineRule="auto"/>
        <w:ind w:firstLine="626" w:firstLineChars="200"/>
        <w:rPr>
          <w:rFonts w:ascii="仿宋_GB2312" w:eastAsia="仿宋_GB2312" w:cs="仿宋_GB2312"/>
          <w:color w:val="auto"/>
          <w:w w:val="98"/>
          <w:szCs w:val="32"/>
        </w:rPr>
      </w:pPr>
      <w:r>
        <w:rPr>
          <w:rFonts w:hint="eastAsia" w:ascii="楷体_GB2312" w:eastAsia="楷体_GB2312" w:cs="仿宋_GB2312"/>
          <w:color w:val="auto"/>
          <w:w w:val="98"/>
          <w:szCs w:val="32"/>
        </w:rPr>
        <w:t>（三十</w:t>
      </w:r>
      <w:r>
        <w:rPr>
          <w:rFonts w:hint="eastAsia" w:ascii="楷体_GB2312" w:eastAsia="楷体_GB2312" w:cs="仿宋_GB2312"/>
          <w:color w:val="auto"/>
          <w:w w:val="98"/>
          <w:szCs w:val="32"/>
          <w:lang w:eastAsia="zh-CN"/>
        </w:rPr>
        <w:t>四</w:t>
      </w:r>
      <w:r>
        <w:rPr>
          <w:rFonts w:hint="eastAsia" w:ascii="楷体_GB2312" w:eastAsia="楷体_GB2312" w:cs="仿宋_GB2312"/>
          <w:color w:val="auto"/>
          <w:w w:val="98"/>
          <w:szCs w:val="32"/>
        </w:rPr>
        <w:t>）加强</w:t>
      </w:r>
      <w:r>
        <w:rPr>
          <w:rFonts w:ascii="楷体_GB2312" w:eastAsia="楷体_GB2312" w:cs="仿宋_GB2312"/>
          <w:color w:val="auto"/>
          <w:w w:val="98"/>
          <w:szCs w:val="32"/>
        </w:rPr>
        <w:t>跟踪评估。</w:t>
      </w:r>
      <w:r>
        <w:rPr>
          <w:rFonts w:hint="eastAsia" w:ascii="仿宋_GB2312" w:eastAsia="仿宋_GB2312" w:cs="仿宋_GB2312"/>
          <w:color w:val="auto"/>
          <w:w w:val="98"/>
          <w:szCs w:val="32"/>
        </w:rPr>
        <w:t>建立第三方评估机制，定期评估各地盐碱地等耕地后备资源综合利用情况。加强对</w:t>
      </w:r>
      <w:r>
        <w:rPr>
          <w:rFonts w:ascii="仿宋_GB2312" w:eastAsia="仿宋_GB2312" w:cs="仿宋_GB2312"/>
          <w:color w:val="auto"/>
          <w:w w:val="98"/>
          <w:szCs w:val="32"/>
        </w:rPr>
        <w:t>各地相关工作开展和</w:t>
      </w:r>
      <w:r>
        <w:rPr>
          <w:rFonts w:hint="eastAsia" w:ascii="仿宋_GB2312" w:eastAsia="仿宋_GB2312" w:cs="仿宋_GB2312"/>
          <w:color w:val="auto"/>
          <w:w w:val="98"/>
          <w:szCs w:val="32"/>
        </w:rPr>
        <w:t>已竣工验收项目的动态跟踪监测，对工作成效突出的地方给予表扬和奖励，对存在问题的</w:t>
      </w:r>
      <w:r>
        <w:rPr>
          <w:rFonts w:ascii="仿宋_GB2312" w:eastAsia="仿宋_GB2312" w:cs="仿宋_GB2312"/>
          <w:color w:val="auto"/>
          <w:w w:val="98"/>
          <w:szCs w:val="32"/>
        </w:rPr>
        <w:t>，</w:t>
      </w:r>
      <w:r>
        <w:rPr>
          <w:rFonts w:hint="eastAsia" w:ascii="仿宋_GB2312" w:eastAsia="仿宋_GB2312" w:cs="仿宋_GB2312"/>
          <w:color w:val="auto"/>
          <w:w w:val="98"/>
          <w:szCs w:val="32"/>
        </w:rPr>
        <w:t>视情节给予通报、约谈、追责问责。</w:t>
      </w:r>
    </w:p>
    <w:p>
      <w:pPr>
        <w:spacing w:line="341" w:lineRule="auto"/>
        <w:ind w:firstLine="626" w:firstLineChars="200"/>
        <w:rPr>
          <w:rFonts w:ascii="方正仿宋_GBK" w:eastAsia="方正仿宋_GBK" w:cs="黑体"/>
          <w:color w:val="auto"/>
          <w:w w:val="98"/>
          <w:szCs w:val="32"/>
        </w:rPr>
      </w:pPr>
      <w:r>
        <w:rPr>
          <w:rFonts w:hint="eastAsia" w:ascii="楷体_GB2312" w:eastAsia="楷体_GB2312" w:cs="仿宋_GB2312"/>
          <w:color w:val="auto"/>
          <w:w w:val="98"/>
          <w:szCs w:val="32"/>
        </w:rPr>
        <w:t>（三十</w:t>
      </w:r>
      <w:r>
        <w:rPr>
          <w:rFonts w:hint="eastAsia" w:ascii="楷体_GB2312" w:eastAsia="楷体_GB2312" w:cs="仿宋_GB2312"/>
          <w:color w:val="auto"/>
          <w:w w:val="98"/>
          <w:szCs w:val="32"/>
          <w:lang w:eastAsia="zh-CN"/>
        </w:rPr>
        <w:t>五</w:t>
      </w:r>
      <w:r>
        <w:rPr>
          <w:rFonts w:hint="eastAsia" w:ascii="楷体_GB2312" w:eastAsia="楷体_GB2312" w:cs="仿宋_GB2312"/>
          <w:color w:val="auto"/>
          <w:w w:val="98"/>
          <w:szCs w:val="32"/>
        </w:rPr>
        <w:t>）加强宣传引导</w:t>
      </w:r>
      <w:r>
        <w:rPr>
          <w:rFonts w:ascii="楷体_GB2312" w:eastAsia="楷体_GB2312" w:cs="仿宋_GB2312"/>
          <w:color w:val="auto"/>
          <w:w w:val="98"/>
          <w:szCs w:val="32"/>
        </w:rPr>
        <w:t>。</w:t>
      </w:r>
      <w:r>
        <w:rPr>
          <w:rFonts w:hint="eastAsia" w:ascii="仿宋_GB2312" w:eastAsia="仿宋_GB2312" w:cs="仿宋_GB2312"/>
          <w:color w:val="auto"/>
          <w:w w:val="98"/>
          <w:szCs w:val="32"/>
        </w:rPr>
        <w:t>各地要通过</w:t>
      </w:r>
      <w:r>
        <w:rPr>
          <w:rFonts w:ascii="仿宋_GB2312" w:eastAsia="仿宋_GB2312" w:cs="仿宋_GB2312"/>
          <w:color w:val="auto"/>
          <w:w w:val="98"/>
          <w:szCs w:val="32"/>
        </w:rPr>
        <w:t>多</w:t>
      </w:r>
      <w:r>
        <w:rPr>
          <w:rFonts w:hint="eastAsia" w:ascii="仿宋_GB2312" w:eastAsia="仿宋_GB2312" w:cs="仿宋_GB2312"/>
          <w:color w:val="auto"/>
          <w:w w:val="98"/>
          <w:szCs w:val="32"/>
        </w:rPr>
        <w:t>种渠道和各类形式，积极宣传盐碱地等耕地后备资源综合利用政策</w:t>
      </w:r>
      <w:r>
        <w:rPr>
          <w:rFonts w:ascii="仿宋_GB2312" w:eastAsia="仿宋_GB2312" w:cs="仿宋_GB2312"/>
          <w:color w:val="auto"/>
          <w:w w:val="98"/>
          <w:szCs w:val="32"/>
        </w:rPr>
        <w:t>和工作成效</w:t>
      </w:r>
      <w:r>
        <w:rPr>
          <w:rFonts w:hint="eastAsia" w:ascii="仿宋_GB2312" w:eastAsia="仿宋_GB2312" w:cs="仿宋_GB2312"/>
          <w:color w:val="auto"/>
          <w:w w:val="98"/>
          <w:szCs w:val="32"/>
        </w:rPr>
        <w:t>，推动社会各界广泛支持、主动参</w:t>
      </w:r>
      <w:r>
        <w:rPr>
          <w:rFonts w:hint="eastAsia" w:ascii="仿宋_GB2312" w:eastAsia="仿宋_GB2312"/>
          <w:color w:val="auto"/>
          <w:w w:val="98"/>
          <w:szCs w:val="32"/>
        </w:rPr>
        <w:t>与、共同管理，不断</w:t>
      </w:r>
      <w:r>
        <w:rPr>
          <w:rFonts w:hint="eastAsia" w:ascii="仿宋_GB2312" w:eastAsia="仿宋_GB2312" w:cs="仿宋_GB2312"/>
          <w:color w:val="auto"/>
          <w:w w:val="98"/>
          <w:szCs w:val="32"/>
        </w:rPr>
        <w:t>扩大影响力，</w:t>
      </w:r>
      <w:r>
        <w:rPr>
          <w:rFonts w:ascii="仿宋_GB2312" w:eastAsia="仿宋_GB2312" w:cs="仿宋_GB2312"/>
          <w:color w:val="auto"/>
          <w:w w:val="98"/>
          <w:szCs w:val="32"/>
        </w:rPr>
        <w:t>切实</w:t>
      </w:r>
      <w:r>
        <w:rPr>
          <w:rFonts w:hint="eastAsia" w:ascii="仿宋_GB2312" w:eastAsia="仿宋_GB2312" w:cs="仿宋_GB2312"/>
          <w:color w:val="auto"/>
          <w:w w:val="98"/>
          <w:szCs w:val="32"/>
        </w:rPr>
        <w:t>营造良好的舆论氛围</w:t>
      </w:r>
      <w:r>
        <w:rPr>
          <w:rFonts w:hint="eastAsia" w:ascii="仿宋_GB2312" w:eastAsia="仿宋_GB2312"/>
          <w:color w:val="auto"/>
          <w:w w:val="98"/>
          <w:szCs w:val="32"/>
        </w:rPr>
        <w:t>。</w:t>
      </w: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script"/>
    <w:pitch w:val="default"/>
    <w:sig w:usb0="00000000" w:usb1="00000000" w:usb2="00000010" w:usb3="00000000" w:csb0="0004000F" w:csb1="00000000"/>
  </w:font>
  <w:font w:name="方正黑体_GBK">
    <w:altName w:val="Arial Unicode MS"/>
    <w:panose1 w:val="02000000000000000000"/>
    <w:charset w:val="86"/>
    <w:family w:val="script"/>
    <w:pitch w:val="default"/>
    <w:sig w:usb0="00000000" w:usb1="00000000" w:usb2="00000000" w:usb3="00000000" w:csb0="00040000" w:csb1="00000000"/>
  </w:font>
  <w:font w:name="CESI楷体-GB2312">
    <w:altName w:val="宋体"/>
    <w:panose1 w:val="02000500000000000000"/>
    <w:charset w:val="86"/>
    <w:family w:val="script"/>
    <w:pitch w:val="default"/>
    <w:sig w:usb0="00000000" w:usb1="00000000" w:usb2="00000012" w:usb3="00000000" w:csb0="0004000F" w:csb1="00000000"/>
  </w:font>
  <w:font w:name="CESI黑体-GB13000">
    <w:altName w:val="黑体"/>
    <w:panose1 w:val="020005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90805" distR="90805" simplePos="0" relativeHeight="251659264" behindDoc="0" locked="0" layoutInCell="1" allowOverlap="1">
              <wp:simplePos x="0" y="0"/>
              <wp:positionH relativeFrom="margin">
                <wp:align>center</wp:align>
              </wp:positionH>
              <wp:positionV relativeFrom="paragraph">
                <wp:posOffset>0</wp:posOffset>
              </wp:positionV>
              <wp:extent cx="72390" cy="200025"/>
              <wp:effectExtent l="0" t="0" r="0" b="0"/>
              <wp:wrapNone/>
              <wp:docPr id="1" name="文本框 1"/>
              <wp:cNvGraphicFramePr/>
              <a:graphic xmlns:a="http://schemas.openxmlformats.org/drawingml/2006/main">
                <a:graphicData uri="http://schemas.microsoft.com/office/word/2010/wordprocessingShape">
                  <wps:wsp>
                    <wps:cNvSpPr/>
                    <wps:spPr>
                      <a:xfrm>
                        <a:off x="0" y="0"/>
                        <a:ext cx="72694" cy="199739"/>
                      </a:xfrm>
                      <a:prstGeom prst="rect">
                        <a:avLst/>
                      </a:prstGeom>
                      <a:noFill/>
                      <a:ln w="6350" cap="flat" cmpd="sng">
                        <a:noFill/>
                        <a:prstDash val="solid"/>
                        <a:round/>
                      </a:ln>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5.75pt;width:5.7pt;mso-position-horizontal:center;mso-position-horizontal-relative:margin;mso-wrap-style:none;z-index:251659264;mso-width-relative:page;mso-height-relative:page;" filled="f" stroked="f" coordsize="21600,21600" o:gfxdata="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6FdyrXAAAAAwEAAA8AAAAAAAAAAQAgAAAAIgAAAGRycy9k&#10;b3ducmV2LnhtbFBLAQIUABQAAAAIAIdO4kD802d8AwIAAPMDAAAOAAAAAAAAAAEAIAAAACYBAABk&#10;cnMvZTJvRG9jLnhtbFBLBQYAAAAABgAGAFkBAACbBQAAAAA=&#10;">
              <v:fill on="f" focussize="0,0"/>
              <v:stroke on="f" weight="0.5pt" joinstyle="round"/>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dit="readOnly" w:enforcement="0"/>
  <w:defaultTabStop w:val="420"/>
  <w:drawingGridHorizontalSpacing w:val="160"/>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ExpandShiftReturn/>
    <w:adjustLineHeightInTable/>
    <w:useFELayout/>
    <w:compatSetting w:name="compatibilityMode" w:uri="http://schemas.microsoft.com/office/word" w:val="15"/>
  </w:compat>
  <w:docVars>
    <w:docVar w:name="commondata" w:val="eyJoZGlkIjoiODZjYjhhNWQxOGYxMzcwOGFkM2E2MDg2MWNmNTg4NmYifQ=="/>
  </w:docVars>
  <w:rsids>
    <w:rsidRoot w:val="00000000"/>
    <w:rsid w:val="059BF900"/>
    <w:rsid w:val="05AC7928"/>
    <w:rsid w:val="1BFF56C8"/>
    <w:rsid w:val="247F92DC"/>
    <w:rsid w:val="36F72B0F"/>
    <w:rsid w:val="3BE6ECA9"/>
    <w:rsid w:val="3F7F2B7A"/>
    <w:rsid w:val="3FFD2294"/>
    <w:rsid w:val="3FFF1286"/>
    <w:rsid w:val="53F6B754"/>
    <w:rsid w:val="563927BB"/>
    <w:rsid w:val="5A4B2DAB"/>
    <w:rsid w:val="5ABA6D97"/>
    <w:rsid w:val="5AED8E55"/>
    <w:rsid w:val="5B6F5C43"/>
    <w:rsid w:val="5D17134A"/>
    <w:rsid w:val="5D7EE83D"/>
    <w:rsid w:val="5DF7EF35"/>
    <w:rsid w:val="5E7FD956"/>
    <w:rsid w:val="5F5D491C"/>
    <w:rsid w:val="5FD49947"/>
    <w:rsid w:val="5FFC4CD4"/>
    <w:rsid w:val="67AF7FFA"/>
    <w:rsid w:val="67CF9D81"/>
    <w:rsid w:val="6C7C8C61"/>
    <w:rsid w:val="6DAFBFEF"/>
    <w:rsid w:val="6DFED25A"/>
    <w:rsid w:val="6EBF1690"/>
    <w:rsid w:val="6ECDAB22"/>
    <w:rsid w:val="6FB990A2"/>
    <w:rsid w:val="73FF0C97"/>
    <w:rsid w:val="756D7479"/>
    <w:rsid w:val="75F51A6F"/>
    <w:rsid w:val="76FFB61B"/>
    <w:rsid w:val="777F1A05"/>
    <w:rsid w:val="77FB3009"/>
    <w:rsid w:val="79BFE36D"/>
    <w:rsid w:val="7B3F8199"/>
    <w:rsid w:val="7E4D8794"/>
    <w:rsid w:val="7E534504"/>
    <w:rsid w:val="7EBE6B3C"/>
    <w:rsid w:val="7EBEA0E5"/>
    <w:rsid w:val="7F3F461D"/>
    <w:rsid w:val="7F7E5405"/>
    <w:rsid w:val="7F9F3BE8"/>
    <w:rsid w:val="7FAE74E2"/>
    <w:rsid w:val="7FB9AE89"/>
    <w:rsid w:val="7FF357C1"/>
    <w:rsid w:val="7FFDBB09"/>
    <w:rsid w:val="85FB2C98"/>
    <w:rsid w:val="8E67EA7C"/>
    <w:rsid w:val="8F9BAFC6"/>
    <w:rsid w:val="A9DF409C"/>
    <w:rsid w:val="BBFF1F9A"/>
    <w:rsid w:val="BFADB48A"/>
    <w:rsid w:val="BFFB4D61"/>
    <w:rsid w:val="C7FFA0D6"/>
    <w:rsid w:val="CFF3F4C9"/>
    <w:rsid w:val="D26FF8C5"/>
    <w:rsid w:val="DCBF8CE7"/>
    <w:rsid w:val="DEF15B16"/>
    <w:rsid w:val="DFBF0A12"/>
    <w:rsid w:val="DFCB1B82"/>
    <w:rsid w:val="DFFF7C40"/>
    <w:rsid w:val="E5DED04D"/>
    <w:rsid w:val="EAB5311C"/>
    <w:rsid w:val="EFFF4443"/>
    <w:rsid w:val="F9FC4273"/>
    <w:rsid w:val="FD73CFDF"/>
    <w:rsid w:val="FDA76F0F"/>
    <w:rsid w:val="FE0F0120"/>
    <w:rsid w:val="FEF3923F"/>
    <w:rsid w:val="FEF77129"/>
    <w:rsid w:val="FF3BDBB7"/>
    <w:rsid w:val="FFDA5030"/>
    <w:rsid w:val="FFF554D4"/>
    <w:rsid w:val="FFFD96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仿宋" w:cs="Arial"/>
      <w:kern w:val="2"/>
      <w:sz w:val="32"/>
      <w:szCs w:val="22"/>
      <w:lang w:val="en-US" w:eastAsia="zh-CN" w:bidi="ar-SA"/>
    </w:rPr>
  </w:style>
  <w:style w:type="paragraph" w:styleId="2">
    <w:name w:val="heading 1"/>
    <w:basedOn w:val="1"/>
    <w:next w:val="1"/>
    <w:qFormat/>
    <w:uiPriority w:val="0"/>
    <w:pPr>
      <w:keepNext/>
      <w:keepLines/>
      <w:widowControl w:val="0"/>
      <w:outlineLvl w:val="0"/>
    </w:pPr>
    <w:rPr>
      <w:rFonts w:eastAsia="黑体"/>
      <w:kern w:val="44"/>
    </w:rPr>
  </w:style>
  <w:style w:type="paragraph" w:styleId="3">
    <w:name w:val="heading 2"/>
    <w:basedOn w:val="1"/>
    <w:next w:val="1"/>
    <w:qFormat/>
    <w:uiPriority w:val="0"/>
    <w:pPr>
      <w:keepNext/>
      <w:keepLines/>
      <w:widowControl w:val="0"/>
      <w:outlineLvl w:val="1"/>
    </w:pPr>
    <w:rPr>
      <w:rFonts w:ascii="Arial" w:hAnsi="Arial" w:eastAsia="楷体"/>
    </w:rPr>
  </w:style>
  <w:style w:type="paragraph" w:styleId="4">
    <w:name w:val="heading 3"/>
    <w:basedOn w:val="1"/>
    <w:next w:val="1"/>
    <w:qFormat/>
    <w:uiPriority w:val="0"/>
    <w:pPr>
      <w:keepNext/>
      <w:keepLines/>
      <w:widowControl w:val="0"/>
      <w:outlineLvl w:val="2"/>
    </w:pPr>
    <w:rPr>
      <w:b/>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alloon Text"/>
    <w:basedOn w:val="1"/>
    <w:qFormat/>
    <w:uiPriority w:val="0"/>
    <w:pPr>
      <w:spacing w:line="240" w:lineRule="auto"/>
    </w:pPr>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tabs>
        <w:tab w:val="center" w:pos="4153"/>
        <w:tab w:val="right" w:pos="8306"/>
      </w:tabs>
      <w:snapToGrid w:val="0"/>
      <w:spacing w:line="240" w:lineRule="auto"/>
    </w:pPr>
    <w:rPr>
      <w:sz w:val="18"/>
    </w:rPr>
  </w:style>
  <w:style w:type="paragraph" w:customStyle="1" w:styleId="10">
    <w:name w:val="列出段落1"/>
    <w:basedOn w:val="1"/>
    <w:qFormat/>
    <w:uiPriority w:val="0"/>
    <w:pPr>
      <w:widowControl/>
      <w:tabs>
        <w:tab w:val="left" w:pos="1560"/>
      </w:tabs>
      <w:adjustRightInd w:val="0"/>
      <w:snapToGrid w:val="0"/>
      <w:ind w:firstLine="630"/>
      <w:jc w:val="left"/>
    </w:pPr>
    <w:rPr>
      <w:rFonts w:ascii="宋体" w:hAnsi="宋体" w:cs="宋体"/>
      <w:kern w:val="0"/>
      <w:szCs w:val="32"/>
      <w:lang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11</Pages>
  <Words>5139</Words>
  <Characters>5162</Characters>
  <Lines>216</Lines>
  <Paragraphs>51</Paragraphs>
  <TotalTime>0</TotalTime>
  <ScaleCrop>false</ScaleCrop>
  <LinksUpToDate>false</LinksUpToDate>
  <CharactersWithSpaces>5166</CharactersWithSpaces>
  <Application>WPS Office_11.1.0.12302_F1E327BC-269C-435d-A152-05C5408002CA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2022-08-03T15:40:00Z</dcterms:created>
  <dc:creator>yang</dc:creator>
  <cp:lastModifiedBy>dell</cp:lastModifiedBy>
  <cp:lastPrinted>2022-06-07T02:13:00Z</cp:lastPrinted>
  <dcterms:modified xsi:type="dcterms:W3CDTF">2022-08-23T05:51:21Z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DAABE2949CDB4402AA453A4DBFFFA3B1</vt:lpwstr>
  </property>
</Properties>
</file>